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CE" w:rsidRPr="00A36FF4" w:rsidRDefault="002914CE" w:rsidP="00A36FF4">
      <w:pPr>
        <w:pStyle w:val="berschrift1"/>
      </w:pPr>
      <w:proofErr w:type="spellStart"/>
      <w:r w:rsidRPr="00A36FF4">
        <w:t>Redox</w:t>
      </w:r>
      <w:proofErr w:type="spellEnd"/>
      <w:r w:rsidRPr="00A36FF4">
        <w:t xml:space="preserve"> </w:t>
      </w:r>
    </w:p>
    <w:p w:rsidR="002914CE" w:rsidRPr="00A36FF4" w:rsidRDefault="00A36FF4" w:rsidP="00A36FF4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479425</wp:posOffset>
            </wp:positionV>
            <wp:extent cx="5753100" cy="2895600"/>
            <wp:effectExtent l="19050" t="0" r="0" b="0"/>
            <wp:wrapTight wrapText="bothSides">
              <wp:wrapPolygon edited="0">
                <wp:start x="-72" y="0"/>
                <wp:lineTo x="-72" y="21458"/>
                <wp:lineTo x="21600" y="21458"/>
                <wp:lineTo x="21600" y="0"/>
                <wp:lineTo x="-72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CE" w:rsidRPr="00A36FF4">
        <w:rPr>
          <w:rFonts w:cs="ComicSansMS-Bold"/>
          <w:b/>
          <w:bCs/>
          <w:sz w:val="24"/>
          <w:szCs w:val="24"/>
        </w:rPr>
        <w:t>Redoxreaktionen sind Elektronenübertragungsreaktionen</w:t>
      </w:r>
      <w:r>
        <w:rPr>
          <w:rFonts w:cs="ComicSansMS-Bold"/>
          <w:b/>
          <w:bCs/>
          <w:sz w:val="24"/>
          <w:szCs w:val="24"/>
        </w:rPr>
        <w:t xml:space="preserve"> (z.B. Photosynthese)</w:t>
      </w:r>
      <w:r w:rsidR="002914CE" w:rsidRPr="00A36FF4">
        <w:rPr>
          <w:rFonts w:cs="ComicSansMS-Bold"/>
          <w:b/>
          <w:bCs/>
          <w:sz w:val="24"/>
          <w:szCs w:val="24"/>
        </w:rPr>
        <w:t>.</w:t>
      </w:r>
      <w:r>
        <w:rPr>
          <w:rFonts w:cs="ComicSansMS-Bold"/>
          <w:b/>
          <w:bCs/>
          <w:sz w:val="24"/>
          <w:szCs w:val="24"/>
        </w:rPr>
        <w:t xml:space="preserve"> </w:t>
      </w:r>
      <w:r w:rsidR="002914CE" w:rsidRPr="00A36FF4">
        <w:rPr>
          <w:rFonts w:cs="ComicSansMS"/>
          <w:sz w:val="24"/>
          <w:szCs w:val="24"/>
        </w:rPr>
        <w:t>Säure-Base-Reaktionen sind Protonenübertragungsreaktionen.</w:t>
      </w:r>
    </w:p>
    <w:p w:rsidR="00A36FF4" w:rsidRDefault="00A36FF4" w:rsidP="00A36FF4">
      <w:pPr>
        <w:pStyle w:val="berschrift2"/>
        <w:rPr>
          <w:rFonts w:cs="ComicSansMS"/>
        </w:rPr>
      </w:pPr>
      <w:proofErr w:type="spellStart"/>
      <w:r>
        <w:t>Redox</w:t>
      </w:r>
      <w:proofErr w:type="spellEnd"/>
      <w:r>
        <w:t>-Gleichgewichte</w:t>
      </w:r>
    </w:p>
    <w:p w:rsidR="00A36FF4" w:rsidRDefault="00A36FF4" w:rsidP="002914CE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2914CE" w:rsidRPr="00A36FF4" w:rsidRDefault="002914CE" w:rsidP="002914CE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A36FF4">
        <w:rPr>
          <w:rFonts w:cs="ComicSansMS"/>
          <w:sz w:val="24"/>
          <w:szCs w:val="24"/>
        </w:rPr>
        <w:t xml:space="preserve">Auch </w:t>
      </w:r>
      <w:proofErr w:type="spellStart"/>
      <w:r w:rsidRPr="00A36FF4">
        <w:rPr>
          <w:rFonts w:cs="ComicSansMS"/>
          <w:sz w:val="24"/>
          <w:szCs w:val="24"/>
        </w:rPr>
        <w:t>Redox</w:t>
      </w:r>
      <w:proofErr w:type="spellEnd"/>
      <w:r w:rsidRPr="00A36FF4">
        <w:rPr>
          <w:rFonts w:cs="ComicSansMS"/>
          <w:sz w:val="24"/>
          <w:szCs w:val="24"/>
        </w:rPr>
        <w:t xml:space="preserve">-Reaktionen sind Gleichgewichtsreaktionen. Das Kupfer gibt offensichtlich leichter die Elektronen an Silberionen ab als Silber an Kupferionen. Diese Beobachtung ist in der Tabelle der Standard Elektrodenpotentiale oder auch </w:t>
      </w:r>
      <w:proofErr w:type="spellStart"/>
      <w:r w:rsidRPr="00A36FF4">
        <w:rPr>
          <w:rFonts w:cs="ComicSansMS"/>
          <w:sz w:val="24"/>
          <w:szCs w:val="24"/>
        </w:rPr>
        <w:t>Redoxreihe</w:t>
      </w:r>
      <w:proofErr w:type="spellEnd"/>
      <w:r w:rsidRPr="00A36FF4">
        <w:rPr>
          <w:rFonts w:cs="ComicSansMS"/>
          <w:sz w:val="24"/>
          <w:szCs w:val="24"/>
        </w:rPr>
        <w:t xml:space="preserve"> genannt, systematisiert. Die Einordnung eines Stoffes in die Tabelle gibt die Tendenz an, mit der Elektronen abgegeben oder aufgenommen werden.</w:t>
      </w:r>
    </w:p>
    <w:p w:rsidR="00A36FF4" w:rsidRPr="00A36FF4" w:rsidRDefault="00A36FF4" w:rsidP="00A36FF4">
      <w:pPr>
        <w:pStyle w:val="berschrift2"/>
        <w:rPr>
          <w:rFonts w:asciiTheme="minorHAnsi" w:eastAsiaTheme="minorHAnsi" w:hAnsiTheme="minorHAnsi" w:cs="ComicSansMS"/>
        </w:rPr>
      </w:pPr>
      <w:proofErr w:type="spellStart"/>
      <w:r>
        <w:t>Daniell</w:t>
      </w:r>
      <w:proofErr w:type="spellEnd"/>
      <w:r>
        <w:t>-Element</w:t>
      </w:r>
    </w:p>
    <w:p w:rsidR="00A32A19" w:rsidRPr="00A36FF4" w:rsidRDefault="00A36FF4" w:rsidP="002914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195580</wp:posOffset>
            </wp:positionV>
            <wp:extent cx="4152900" cy="3486150"/>
            <wp:effectExtent l="19050" t="0" r="0" b="0"/>
            <wp:wrapTight wrapText="bothSides">
              <wp:wrapPolygon edited="0">
                <wp:start x="-99" y="0"/>
                <wp:lineTo x="-99" y="21482"/>
                <wp:lineTo x="21600" y="21482"/>
                <wp:lineTo x="21600" y="0"/>
                <wp:lineTo x="-99" y="0"/>
              </wp:wrapPolygon>
            </wp:wrapTight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19" w:rsidRPr="00A36FF4" w:rsidRDefault="00A32A19" w:rsidP="002914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A32A19" w:rsidRPr="00A36FF4" w:rsidRDefault="00A32A19" w:rsidP="002914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A32A19" w:rsidRPr="00A36FF4" w:rsidRDefault="00A32A19" w:rsidP="002914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A32A19" w:rsidRPr="00A36FF4" w:rsidRDefault="00A32A19" w:rsidP="002914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A36FF4" w:rsidRDefault="00A36FF4">
      <w:pPr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:rsidR="008F6FC4" w:rsidRPr="008F6FC4" w:rsidRDefault="008F6FC4" w:rsidP="008F6FC4">
      <w:pPr>
        <w:pStyle w:val="berschrift2"/>
        <w:rPr>
          <w:szCs w:val="18"/>
        </w:rPr>
      </w:pPr>
      <w:r w:rsidRPr="008F6FC4">
        <w:rPr>
          <w:szCs w:val="24"/>
        </w:rPr>
        <w:lastRenderedPageBreak/>
        <w:t>Spannung zwischen zwei Lösungen</w:t>
      </w:r>
    </w:p>
    <w:p w:rsidR="008F6FC4" w:rsidRDefault="008F6FC4" w:rsidP="008F6FC4">
      <w:pPr>
        <w:rPr>
          <w:sz w:val="24"/>
          <w:szCs w:val="24"/>
        </w:rPr>
      </w:pPr>
      <w:r w:rsidRPr="008F6FC4">
        <w:rPr>
          <w:sz w:val="24"/>
          <w:szCs w:val="24"/>
        </w:rPr>
        <w:t>U</w:t>
      </w:r>
      <w:r w:rsidRPr="008F6FC4">
        <w:rPr>
          <w:sz w:val="24"/>
          <w:szCs w:val="24"/>
          <w:vertAlign w:val="subscript"/>
        </w:rPr>
        <w:t>Z</w:t>
      </w:r>
      <w:r w:rsidRPr="008F6FC4">
        <w:rPr>
          <w:sz w:val="24"/>
          <w:szCs w:val="24"/>
        </w:rPr>
        <w:t xml:space="preserve"> = </w:t>
      </w:r>
      <w:proofErr w:type="spellStart"/>
      <w:r w:rsidRPr="008F6FC4">
        <w:rPr>
          <w:sz w:val="24"/>
          <w:szCs w:val="24"/>
        </w:rPr>
        <w:t>E°Zelle</w:t>
      </w:r>
      <w:proofErr w:type="spellEnd"/>
      <w:r w:rsidRPr="008F6FC4">
        <w:rPr>
          <w:sz w:val="24"/>
          <w:szCs w:val="24"/>
        </w:rPr>
        <w:t xml:space="preserve"> = </w:t>
      </w:r>
      <w:proofErr w:type="spellStart"/>
      <w:r w:rsidRPr="008F6FC4">
        <w:rPr>
          <w:sz w:val="24"/>
          <w:szCs w:val="24"/>
        </w:rPr>
        <w:t>E°red</w:t>
      </w:r>
      <w:proofErr w:type="spellEnd"/>
      <w:r w:rsidRPr="008F6FC4">
        <w:rPr>
          <w:sz w:val="24"/>
          <w:szCs w:val="24"/>
        </w:rPr>
        <w:t xml:space="preserve"> + </w:t>
      </w:r>
      <w:proofErr w:type="spellStart"/>
      <w:r w:rsidRPr="008F6FC4">
        <w:rPr>
          <w:sz w:val="24"/>
          <w:szCs w:val="24"/>
        </w:rPr>
        <w:t>E°ox</w:t>
      </w:r>
      <w:proofErr w:type="spellEnd"/>
      <w:r w:rsidRPr="008F6FC4">
        <w:rPr>
          <w:sz w:val="24"/>
          <w:szCs w:val="24"/>
        </w:rPr>
        <w:t>.</w:t>
      </w:r>
    </w:p>
    <w:p w:rsidR="008F6FC4" w:rsidRPr="008F6FC4" w:rsidRDefault="008F6FC4" w:rsidP="008F6FC4">
      <w:pPr>
        <w:autoSpaceDE w:val="0"/>
        <w:autoSpaceDN w:val="0"/>
        <w:adjustRightInd w:val="0"/>
        <w:spacing w:after="0" w:line="240" w:lineRule="auto"/>
        <w:rPr>
          <w:rFonts w:cs="ComicSansMS-Bold"/>
          <w:bCs/>
          <w:sz w:val="24"/>
          <w:szCs w:val="24"/>
        </w:rPr>
      </w:pPr>
      <w:r w:rsidRPr="00A36FF4">
        <w:rPr>
          <w:rFonts w:cs="ComicSansMS"/>
          <w:sz w:val="24"/>
          <w:szCs w:val="24"/>
        </w:rPr>
        <w:t>Die E</w:t>
      </w:r>
      <w:r>
        <w:rPr>
          <w:rFonts w:cs="ComicSansMS"/>
          <w:sz w:val="24"/>
          <w:szCs w:val="24"/>
        </w:rPr>
        <w:t>°</w:t>
      </w:r>
      <w:r w:rsidRPr="00A36FF4">
        <w:rPr>
          <w:rFonts w:cs="ComicSansMS"/>
          <w:sz w:val="24"/>
          <w:szCs w:val="24"/>
        </w:rPr>
        <w:t xml:space="preserve">-Werte in der Tabelle beziehen sich immer auf eine </w:t>
      </w:r>
      <w:r w:rsidRPr="00A36FF4">
        <w:rPr>
          <w:rFonts w:cs="ComicSansMS-Bold"/>
          <w:b/>
          <w:bCs/>
          <w:sz w:val="24"/>
          <w:szCs w:val="24"/>
        </w:rPr>
        <w:t>Reduktion</w:t>
      </w:r>
      <w:r>
        <w:rPr>
          <w:rFonts w:cs="ComicSansMS-Bold"/>
          <w:b/>
          <w:bCs/>
          <w:sz w:val="24"/>
          <w:szCs w:val="24"/>
        </w:rPr>
        <w:t xml:space="preserve">. </w:t>
      </w:r>
      <w:r w:rsidRPr="008F6FC4">
        <w:rPr>
          <w:rFonts w:cs="ComicSansMS-Bold"/>
          <w:bCs/>
          <w:sz w:val="24"/>
          <w:szCs w:val="24"/>
        </w:rPr>
        <w:sym w:font="Wingdings" w:char="F0E0"/>
      </w:r>
      <w:r w:rsidRPr="008F6FC4">
        <w:rPr>
          <w:rFonts w:cs="ComicSansMS-Bold"/>
          <w:bCs/>
          <w:sz w:val="24"/>
          <w:szCs w:val="24"/>
        </w:rPr>
        <w:t xml:space="preserve"> E°(</w:t>
      </w:r>
      <w:proofErr w:type="spellStart"/>
      <w:r w:rsidRPr="008F6FC4">
        <w:rPr>
          <w:rFonts w:cs="ComicSansMS-Bold"/>
          <w:bCs/>
          <w:sz w:val="24"/>
          <w:szCs w:val="24"/>
        </w:rPr>
        <w:t>ox</w:t>
      </w:r>
      <w:proofErr w:type="spellEnd"/>
      <w:r w:rsidRPr="008F6FC4">
        <w:rPr>
          <w:rFonts w:cs="ComicSansMS-Bold"/>
          <w:bCs/>
          <w:sz w:val="24"/>
          <w:szCs w:val="24"/>
        </w:rPr>
        <w:t>) = -E°(</w:t>
      </w:r>
      <w:proofErr w:type="spellStart"/>
      <w:r w:rsidRPr="008F6FC4">
        <w:rPr>
          <w:rFonts w:cs="ComicSansMS-Bold"/>
          <w:bCs/>
          <w:sz w:val="24"/>
          <w:szCs w:val="24"/>
        </w:rPr>
        <w:t>red</w:t>
      </w:r>
      <w:proofErr w:type="spellEnd"/>
      <w:r w:rsidRPr="008F6FC4">
        <w:rPr>
          <w:rFonts w:cs="ComicSansMS-Bold"/>
          <w:bCs/>
          <w:sz w:val="24"/>
          <w:szCs w:val="24"/>
        </w:rPr>
        <w:t>)</w:t>
      </w:r>
    </w:p>
    <w:p w:rsidR="00A32A19" w:rsidRDefault="00A32A19" w:rsidP="00A36FF4">
      <w:pPr>
        <w:pStyle w:val="berschrift2"/>
      </w:pPr>
      <w:r w:rsidRPr="00A36FF4">
        <w:t>Spannung zwischen zwei gleichen Lösungen unterschiedlicher Konzentration.</w:t>
      </w:r>
    </w:p>
    <w:p w:rsidR="00E71F2F" w:rsidRPr="00E71F2F" w:rsidRDefault="00E71F2F" w:rsidP="00E71F2F">
      <w:pPr>
        <w:rPr>
          <w:sz w:val="24"/>
          <w:szCs w:val="24"/>
        </w:rPr>
      </w:pPr>
      <w:r w:rsidRPr="00E71F2F">
        <w:rPr>
          <w:sz w:val="24"/>
          <w:szCs w:val="24"/>
        </w:rPr>
        <w:t xml:space="preserve">Eine </w:t>
      </w:r>
      <w:r w:rsidRPr="00E71F2F">
        <w:rPr>
          <w:bCs/>
          <w:sz w:val="24"/>
          <w:szCs w:val="24"/>
        </w:rPr>
        <w:t>galvanische Zelle</w:t>
      </w:r>
      <w:r w:rsidRPr="00E71F2F">
        <w:rPr>
          <w:sz w:val="24"/>
          <w:szCs w:val="24"/>
        </w:rPr>
        <w:t xml:space="preserve"> (in der Biologie auch </w:t>
      </w:r>
      <w:proofErr w:type="spellStart"/>
      <w:r w:rsidRPr="00E71F2F">
        <w:rPr>
          <w:bCs/>
          <w:sz w:val="24"/>
          <w:szCs w:val="24"/>
        </w:rPr>
        <w:t>Redoxkette</w:t>
      </w:r>
      <w:proofErr w:type="spellEnd"/>
      <w:r w:rsidRPr="00E71F2F">
        <w:rPr>
          <w:sz w:val="24"/>
          <w:szCs w:val="24"/>
        </w:rPr>
        <w:t xml:space="preserve">) ist eine Vorrichtung zur spontanen Umwandlung von </w:t>
      </w:r>
      <w:hyperlink r:id="rId7" w:tooltip="Chemische Energie" w:history="1">
        <w:r w:rsidRPr="00E71F2F">
          <w:rPr>
            <w:rStyle w:val="Hyperlink"/>
            <w:color w:val="auto"/>
            <w:sz w:val="24"/>
            <w:szCs w:val="24"/>
            <w:u w:val="none"/>
          </w:rPr>
          <w:t>chemischer</w:t>
        </w:r>
      </w:hyperlink>
      <w:r w:rsidRPr="00E71F2F">
        <w:rPr>
          <w:sz w:val="24"/>
          <w:szCs w:val="24"/>
        </w:rPr>
        <w:t xml:space="preserve"> in </w:t>
      </w:r>
      <w:hyperlink r:id="rId8" w:tooltip="Elektrische Energie" w:history="1">
        <w:r w:rsidRPr="00E71F2F">
          <w:rPr>
            <w:rStyle w:val="Hyperlink"/>
            <w:color w:val="auto"/>
            <w:sz w:val="24"/>
            <w:szCs w:val="24"/>
            <w:u w:val="none"/>
          </w:rPr>
          <w:t>elektrische Energie</w:t>
        </w:r>
      </w:hyperlink>
      <w:r w:rsidRPr="00E71F2F">
        <w:rPr>
          <w:sz w:val="24"/>
          <w:szCs w:val="24"/>
        </w:rPr>
        <w:t>.</w:t>
      </w:r>
    </w:p>
    <w:p w:rsidR="00A32A19" w:rsidRPr="00A36FF4" w:rsidRDefault="00A32A19" w:rsidP="00A32A19">
      <w:pPr>
        <w:rPr>
          <w:sz w:val="24"/>
          <w:szCs w:val="24"/>
        </w:rPr>
      </w:pPr>
      <w:r w:rsidRPr="00A36FF4">
        <w:rPr>
          <w:sz w:val="24"/>
          <w:szCs w:val="24"/>
        </w:rPr>
        <w:t xml:space="preserve">Höhere Konzentration </w:t>
      </w:r>
      <w:r w:rsidRPr="00A36FF4">
        <w:rPr>
          <w:sz w:val="24"/>
          <w:szCs w:val="24"/>
        </w:rPr>
        <w:sym w:font="Wingdings" w:char="F0E0"/>
      </w:r>
      <w:r w:rsidRPr="00A36FF4">
        <w:rPr>
          <w:sz w:val="24"/>
          <w:szCs w:val="24"/>
        </w:rPr>
        <w:t>Abnahme der Cu2+- Ionen</w:t>
      </w:r>
      <w:r w:rsidR="00257052" w:rsidRPr="00A36FF4">
        <w:rPr>
          <w:sz w:val="24"/>
          <w:szCs w:val="24"/>
        </w:rPr>
        <w:t xml:space="preserve"> </w:t>
      </w:r>
      <w:r w:rsidR="00257052" w:rsidRPr="00A36FF4">
        <w:rPr>
          <w:sz w:val="24"/>
          <w:szCs w:val="24"/>
        </w:rPr>
        <w:sym w:font="Wingdings" w:char="F0E0"/>
      </w:r>
      <w:r w:rsidR="00257052" w:rsidRPr="00A36FF4">
        <w:rPr>
          <w:sz w:val="24"/>
          <w:szCs w:val="24"/>
        </w:rPr>
        <w:t xml:space="preserve"> Cu</w:t>
      </w:r>
      <w:r w:rsidR="00257052" w:rsidRPr="00A36FF4">
        <w:rPr>
          <w:sz w:val="24"/>
          <w:szCs w:val="24"/>
          <w:vertAlign w:val="superscript"/>
        </w:rPr>
        <w:t>2+</w:t>
      </w:r>
      <w:r w:rsidR="00257052" w:rsidRPr="00A36FF4">
        <w:rPr>
          <w:sz w:val="24"/>
          <w:szCs w:val="24"/>
        </w:rPr>
        <w:t xml:space="preserve"> +2e</w:t>
      </w:r>
      <w:r w:rsidR="00257052" w:rsidRPr="00A36FF4">
        <w:rPr>
          <w:sz w:val="24"/>
          <w:szCs w:val="24"/>
          <w:vertAlign w:val="superscript"/>
        </w:rPr>
        <w:t>-</w:t>
      </w:r>
      <w:r w:rsidR="00257052" w:rsidRPr="00A36FF4">
        <w:rPr>
          <w:sz w:val="24"/>
          <w:szCs w:val="24"/>
        </w:rPr>
        <w:t xml:space="preserve"> </w:t>
      </w:r>
      <w:r w:rsidR="00257052" w:rsidRPr="00A36FF4">
        <w:rPr>
          <w:sz w:val="24"/>
          <w:szCs w:val="24"/>
        </w:rPr>
        <w:sym w:font="Wingdings" w:char="F0E0"/>
      </w:r>
      <w:r w:rsidR="00257052" w:rsidRPr="00A36FF4">
        <w:rPr>
          <w:sz w:val="24"/>
          <w:szCs w:val="24"/>
        </w:rPr>
        <w:t>CU</w:t>
      </w:r>
    </w:p>
    <w:p w:rsidR="00A32A19" w:rsidRPr="00A36FF4" w:rsidRDefault="00A32A19" w:rsidP="00A32A19">
      <w:pPr>
        <w:rPr>
          <w:sz w:val="24"/>
          <w:szCs w:val="24"/>
          <w:vertAlign w:val="superscript"/>
        </w:rPr>
      </w:pPr>
      <w:r w:rsidRPr="00A36FF4">
        <w:rPr>
          <w:sz w:val="24"/>
          <w:szCs w:val="24"/>
        </w:rPr>
        <w:t xml:space="preserve">Tiefere Konzentration </w:t>
      </w:r>
      <w:r w:rsidRPr="00A36FF4">
        <w:rPr>
          <w:sz w:val="24"/>
          <w:szCs w:val="24"/>
        </w:rPr>
        <w:sym w:font="Wingdings" w:char="F0E0"/>
      </w:r>
      <w:r w:rsidRPr="00A36FF4">
        <w:rPr>
          <w:sz w:val="24"/>
          <w:szCs w:val="24"/>
        </w:rPr>
        <w:t>Zunahme der Cu2+- Ionen</w:t>
      </w:r>
      <w:r w:rsidR="00257052" w:rsidRPr="00A36FF4">
        <w:rPr>
          <w:sz w:val="24"/>
          <w:szCs w:val="24"/>
        </w:rPr>
        <w:t xml:space="preserve"> </w:t>
      </w:r>
      <w:r w:rsidR="00257052" w:rsidRPr="00A36FF4">
        <w:rPr>
          <w:sz w:val="24"/>
          <w:szCs w:val="24"/>
        </w:rPr>
        <w:sym w:font="Wingdings" w:char="F0E0"/>
      </w:r>
      <w:r w:rsidR="00257052" w:rsidRPr="00A36FF4">
        <w:rPr>
          <w:sz w:val="24"/>
          <w:szCs w:val="24"/>
        </w:rPr>
        <w:t xml:space="preserve"> CU</w:t>
      </w:r>
      <w:r w:rsidR="00257052" w:rsidRPr="00A36FF4">
        <w:rPr>
          <w:sz w:val="24"/>
          <w:szCs w:val="24"/>
        </w:rPr>
        <w:sym w:font="Wingdings" w:char="F0E0"/>
      </w:r>
      <w:r w:rsidR="00257052" w:rsidRPr="00A36FF4">
        <w:rPr>
          <w:sz w:val="24"/>
          <w:szCs w:val="24"/>
        </w:rPr>
        <w:t xml:space="preserve"> Cu</w:t>
      </w:r>
      <w:r w:rsidR="00257052" w:rsidRPr="00A36FF4">
        <w:rPr>
          <w:sz w:val="24"/>
          <w:szCs w:val="24"/>
          <w:vertAlign w:val="superscript"/>
        </w:rPr>
        <w:t>2+</w:t>
      </w:r>
      <w:r w:rsidR="00257052" w:rsidRPr="00A36FF4">
        <w:rPr>
          <w:sz w:val="24"/>
          <w:szCs w:val="24"/>
        </w:rPr>
        <w:t xml:space="preserve"> +2e</w:t>
      </w:r>
      <w:r w:rsidR="00257052" w:rsidRPr="00A36FF4">
        <w:rPr>
          <w:sz w:val="24"/>
          <w:szCs w:val="24"/>
          <w:vertAlign w:val="superscript"/>
        </w:rPr>
        <w:t xml:space="preserve">- </w:t>
      </w:r>
    </w:p>
    <w:p w:rsidR="00257052" w:rsidRPr="00A36FF4" w:rsidRDefault="00257052" w:rsidP="00A32A19">
      <w:pPr>
        <w:rPr>
          <w:sz w:val="24"/>
          <w:szCs w:val="24"/>
          <w:lang w:val="fr-FR"/>
        </w:rPr>
      </w:pPr>
      <w:r w:rsidRPr="00A36FF4">
        <w:rPr>
          <w:sz w:val="24"/>
          <w:szCs w:val="24"/>
          <w:lang w:val="fr-FR"/>
        </w:rPr>
        <w:t xml:space="preserve">Uz= -log </w:t>
      </w:r>
      <w:proofErr w:type="gramStart"/>
      <w:r w:rsidRPr="00A36FF4">
        <w:rPr>
          <w:sz w:val="24"/>
          <w:szCs w:val="24"/>
          <w:lang w:val="fr-FR"/>
        </w:rPr>
        <w:t>c1(</w:t>
      </w:r>
      <w:proofErr w:type="gramEnd"/>
      <w:r w:rsidRPr="00A36FF4">
        <w:rPr>
          <w:sz w:val="24"/>
          <w:szCs w:val="24"/>
          <w:lang w:val="fr-FR"/>
        </w:rPr>
        <w:t>Cu</w:t>
      </w:r>
      <w:r w:rsidRPr="00A36FF4">
        <w:rPr>
          <w:sz w:val="24"/>
          <w:szCs w:val="24"/>
          <w:vertAlign w:val="superscript"/>
          <w:lang w:val="fr-FR"/>
        </w:rPr>
        <w:t>2+</w:t>
      </w:r>
      <w:r w:rsidRPr="00A36FF4">
        <w:rPr>
          <w:sz w:val="24"/>
          <w:szCs w:val="24"/>
          <w:lang w:val="fr-FR"/>
        </w:rPr>
        <w:t>)/c1(Cu) + log c1(Cu</w:t>
      </w:r>
      <w:r w:rsidRPr="00A36FF4">
        <w:rPr>
          <w:sz w:val="24"/>
          <w:szCs w:val="24"/>
          <w:vertAlign w:val="superscript"/>
          <w:lang w:val="fr-FR"/>
        </w:rPr>
        <w:t>2+</w:t>
      </w:r>
      <w:r w:rsidRPr="00A36FF4">
        <w:rPr>
          <w:sz w:val="24"/>
          <w:szCs w:val="24"/>
          <w:lang w:val="fr-FR"/>
        </w:rPr>
        <w:t>)/c1(Cu</w:t>
      </w:r>
      <w:r w:rsidR="00E71F2F">
        <w:rPr>
          <w:sz w:val="24"/>
          <w:szCs w:val="24"/>
          <w:lang w:val="fr-FR"/>
        </w:rPr>
        <w:t>)</w:t>
      </w:r>
    </w:p>
    <w:p w:rsidR="00257052" w:rsidRPr="00A36FF4" w:rsidRDefault="00257052" w:rsidP="00A32A19">
      <w:pPr>
        <w:rPr>
          <w:sz w:val="24"/>
          <w:szCs w:val="24"/>
        </w:rPr>
      </w:pPr>
      <w:r w:rsidRPr="00A36FF4">
        <w:rPr>
          <w:sz w:val="24"/>
          <w:szCs w:val="24"/>
        </w:rPr>
        <w:t>Uz=</w:t>
      </w:r>
      <w:proofErr w:type="spellStart"/>
      <w:r w:rsidRPr="00A36FF4">
        <w:rPr>
          <w:sz w:val="24"/>
          <w:szCs w:val="24"/>
        </w:rPr>
        <w:t>E</w:t>
      </w:r>
      <w:r w:rsidRPr="00A36FF4">
        <w:rPr>
          <w:sz w:val="24"/>
          <w:szCs w:val="24"/>
          <w:vertAlign w:val="subscript"/>
        </w:rPr>
        <w:t>kathode</w:t>
      </w:r>
      <w:proofErr w:type="spellEnd"/>
      <w:r w:rsidRPr="00A36FF4">
        <w:rPr>
          <w:sz w:val="24"/>
          <w:szCs w:val="24"/>
        </w:rPr>
        <w:t xml:space="preserve">- </w:t>
      </w:r>
      <w:proofErr w:type="spellStart"/>
      <w:r w:rsidRPr="00A36FF4">
        <w:rPr>
          <w:sz w:val="24"/>
          <w:szCs w:val="24"/>
        </w:rPr>
        <w:t>E</w:t>
      </w:r>
      <w:r w:rsidRPr="00A36FF4">
        <w:rPr>
          <w:sz w:val="24"/>
          <w:szCs w:val="24"/>
          <w:vertAlign w:val="subscript"/>
        </w:rPr>
        <w:t>anode</w:t>
      </w:r>
      <w:proofErr w:type="spellEnd"/>
    </w:p>
    <w:p w:rsidR="00A32A19" w:rsidRPr="00A36FF4" w:rsidRDefault="00257052" w:rsidP="00A36FF4">
      <w:pPr>
        <w:pStyle w:val="berschrift2"/>
      </w:pPr>
      <w:r w:rsidRPr="00A36FF4">
        <w:t xml:space="preserve">Die </w:t>
      </w:r>
      <w:proofErr w:type="spellStart"/>
      <w:r w:rsidRPr="00A36FF4">
        <w:t>Nernstsche</w:t>
      </w:r>
      <w:proofErr w:type="spellEnd"/>
      <w:r w:rsidRPr="00A36FF4">
        <w:t xml:space="preserve"> Gleichung</w:t>
      </w:r>
    </w:p>
    <w:p w:rsidR="00A36FF4" w:rsidRDefault="00257052" w:rsidP="00257052">
      <w:pPr>
        <w:rPr>
          <w:sz w:val="24"/>
          <w:szCs w:val="24"/>
        </w:rPr>
      </w:pPr>
      <w:r w:rsidRPr="00A36FF4">
        <w:rPr>
          <w:sz w:val="24"/>
          <w:szCs w:val="24"/>
        </w:rPr>
        <w:t>E(M/</w:t>
      </w:r>
      <w:proofErr w:type="spellStart"/>
      <w:r w:rsidRPr="00A36FF4">
        <w:rPr>
          <w:sz w:val="24"/>
          <w:szCs w:val="24"/>
        </w:rPr>
        <w:t>M</w:t>
      </w:r>
      <w:r w:rsidRPr="00A36FF4">
        <w:rPr>
          <w:sz w:val="24"/>
          <w:szCs w:val="24"/>
          <w:vertAlign w:val="superscript"/>
        </w:rPr>
        <w:t>n</w:t>
      </w:r>
      <w:proofErr w:type="spellEnd"/>
      <w:r w:rsidRPr="00A36FF4">
        <w:rPr>
          <w:sz w:val="24"/>
          <w:szCs w:val="24"/>
          <w:vertAlign w:val="superscript"/>
        </w:rPr>
        <w:t>+</w:t>
      </w:r>
      <w:r w:rsidRPr="00A36FF4">
        <w:rPr>
          <w:sz w:val="24"/>
          <w:szCs w:val="24"/>
        </w:rPr>
        <w:t>)= E ° (M/</w:t>
      </w:r>
      <w:proofErr w:type="spellStart"/>
      <w:r w:rsidRPr="00A36FF4">
        <w:rPr>
          <w:sz w:val="24"/>
          <w:szCs w:val="24"/>
        </w:rPr>
        <w:t>M</w:t>
      </w:r>
      <w:r w:rsidRPr="00A36FF4">
        <w:rPr>
          <w:sz w:val="24"/>
          <w:szCs w:val="24"/>
          <w:vertAlign w:val="superscript"/>
        </w:rPr>
        <w:t>n</w:t>
      </w:r>
      <w:proofErr w:type="spellEnd"/>
      <w:r w:rsidRPr="00A36FF4">
        <w:rPr>
          <w:sz w:val="24"/>
          <w:szCs w:val="24"/>
          <w:vertAlign w:val="superscript"/>
        </w:rPr>
        <w:t>+</w:t>
      </w:r>
      <w:r w:rsidRPr="00A36FF4">
        <w:rPr>
          <w:sz w:val="24"/>
          <w:szCs w:val="24"/>
        </w:rPr>
        <w:t>) + 0.059/ n</w:t>
      </w:r>
      <w:r w:rsidR="002C1A23" w:rsidRPr="00A36FF4">
        <w:rPr>
          <w:sz w:val="24"/>
          <w:szCs w:val="24"/>
        </w:rPr>
        <w:t>*log (</w:t>
      </w:r>
      <w:r w:rsidR="00A36FF4">
        <w:rPr>
          <w:sz w:val="24"/>
          <w:szCs w:val="24"/>
        </w:rPr>
        <w:t>c(</w:t>
      </w:r>
      <w:proofErr w:type="spellStart"/>
      <w:r w:rsidR="00A36FF4">
        <w:rPr>
          <w:sz w:val="24"/>
          <w:szCs w:val="24"/>
        </w:rPr>
        <w:t>ox</w:t>
      </w:r>
      <w:proofErr w:type="spellEnd"/>
      <w:r w:rsidR="002C1A23" w:rsidRPr="00A36FF4">
        <w:rPr>
          <w:sz w:val="24"/>
          <w:szCs w:val="24"/>
        </w:rPr>
        <w:t>)^a/c(</w:t>
      </w:r>
      <w:proofErr w:type="spellStart"/>
      <w:r w:rsidR="002C1A23" w:rsidRPr="00A36FF4">
        <w:rPr>
          <w:sz w:val="24"/>
          <w:szCs w:val="24"/>
        </w:rPr>
        <w:t>red</w:t>
      </w:r>
      <w:proofErr w:type="spellEnd"/>
      <w:r w:rsidR="002C1A23" w:rsidRPr="00A36FF4">
        <w:rPr>
          <w:sz w:val="24"/>
          <w:szCs w:val="24"/>
        </w:rPr>
        <w:t xml:space="preserve">)^b) </w:t>
      </w:r>
    </w:p>
    <w:p w:rsidR="00A36FF4" w:rsidRDefault="00A36FF4" w:rsidP="00257052">
      <w:pPr>
        <w:rPr>
          <w:sz w:val="24"/>
          <w:szCs w:val="24"/>
        </w:rPr>
      </w:pPr>
      <w:r w:rsidRPr="00A36FF4">
        <w:rPr>
          <w:noProof/>
          <w:sz w:val="24"/>
          <w:szCs w:val="24"/>
          <w:lang w:eastAsia="de-DE"/>
        </w:rPr>
        <w:drawing>
          <wp:inline distT="0" distB="0" distL="0" distR="0">
            <wp:extent cx="5095875" cy="523875"/>
            <wp:effectExtent l="19050" t="0" r="9525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52" w:rsidRPr="00A36FF4" w:rsidRDefault="00A36FF4" w:rsidP="00257052">
      <w:pPr>
        <w:rPr>
          <w:sz w:val="24"/>
          <w:szCs w:val="24"/>
        </w:rPr>
      </w:pPr>
      <w:r>
        <w:rPr>
          <w:sz w:val="24"/>
          <w:szCs w:val="24"/>
        </w:rPr>
        <w:t>c(</w:t>
      </w:r>
      <w:proofErr w:type="spellStart"/>
      <w:r>
        <w:rPr>
          <w:sz w:val="24"/>
          <w:szCs w:val="24"/>
        </w:rPr>
        <w:t>ox</w:t>
      </w:r>
      <w:proofErr w:type="spellEnd"/>
      <w:r>
        <w:rPr>
          <w:sz w:val="24"/>
          <w:szCs w:val="24"/>
        </w:rPr>
        <w:t>): Zn</w:t>
      </w:r>
      <w:r w:rsidRPr="00A36FF4">
        <w:rPr>
          <w:sz w:val="24"/>
          <w:szCs w:val="24"/>
          <w:vertAlign w:val="superscript"/>
        </w:rPr>
        <w:t>2+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c(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Zn</w:t>
      </w:r>
      <w:proofErr w:type="spellEnd"/>
    </w:p>
    <w:p w:rsidR="002C1A23" w:rsidRPr="00A36FF4" w:rsidRDefault="002C1A23" w:rsidP="00A36FF4">
      <w:pPr>
        <w:pStyle w:val="berschrift2"/>
      </w:pPr>
      <w:r w:rsidRPr="00A36FF4">
        <w:t xml:space="preserve">pH-Abhängigkeit von </w:t>
      </w:r>
      <w:proofErr w:type="spellStart"/>
      <w:r w:rsidRPr="00A36FF4">
        <w:t>Redox</w:t>
      </w:r>
      <w:proofErr w:type="spellEnd"/>
      <w:r w:rsidRPr="00A36FF4">
        <w:t>-Potentialen</w:t>
      </w:r>
    </w:p>
    <w:p w:rsidR="002C1A23" w:rsidRPr="00A36FF4" w:rsidRDefault="002C1A23" w:rsidP="002C1A23">
      <w:pPr>
        <w:rPr>
          <w:sz w:val="24"/>
          <w:szCs w:val="24"/>
        </w:rPr>
      </w:pPr>
      <w:r w:rsidRPr="00A36FF4">
        <w:rPr>
          <w:sz w:val="24"/>
          <w:szCs w:val="24"/>
        </w:rPr>
        <w:t>PH= -log c( H</w:t>
      </w:r>
      <w:r w:rsidRPr="00A36FF4">
        <w:rPr>
          <w:sz w:val="24"/>
          <w:szCs w:val="24"/>
          <w:vertAlign w:val="subscript"/>
        </w:rPr>
        <w:t>3</w:t>
      </w:r>
      <w:r w:rsidRPr="00A36FF4">
        <w:rPr>
          <w:sz w:val="24"/>
          <w:szCs w:val="24"/>
        </w:rPr>
        <w:t>O</w:t>
      </w:r>
      <w:r w:rsidRPr="00A36FF4">
        <w:rPr>
          <w:sz w:val="24"/>
          <w:szCs w:val="24"/>
          <w:vertAlign w:val="superscript"/>
        </w:rPr>
        <w:t>+</w:t>
      </w:r>
      <w:r w:rsidRPr="00A36FF4">
        <w:rPr>
          <w:sz w:val="24"/>
          <w:szCs w:val="24"/>
        </w:rPr>
        <w:t>)</w:t>
      </w:r>
    </w:p>
    <w:p w:rsidR="00A36FF4" w:rsidRPr="00A36FF4" w:rsidRDefault="00A36FF4" w:rsidP="00A36FF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36FF4">
        <w:rPr>
          <w:sz w:val="24"/>
          <w:szCs w:val="24"/>
        </w:rPr>
        <w:t>(</w:t>
      </w:r>
      <w:proofErr w:type="spellStart"/>
      <w:r w:rsidRPr="00A36FF4">
        <w:rPr>
          <w:sz w:val="24"/>
          <w:szCs w:val="24"/>
        </w:rPr>
        <w:t>nernstsche</w:t>
      </w:r>
      <w:proofErr w:type="spellEnd"/>
      <w:r w:rsidRPr="00A36FF4">
        <w:rPr>
          <w:sz w:val="24"/>
          <w:szCs w:val="24"/>
        </w:rPr>
        <w:t xml:space="preserve"> </w:t>
      </w:r>
      <w:proofErr w:type="spellStart"/>
      <w:r w:rsidRPr="00A36FF4">
        <w:rPr>
          <w:sz w:val="24"/>
          <w:szCs w:val="24"/>
        </w:rPr>
        <w:t>Gl</w:t>
      </w:r>
      <w:proofErr w:type="spellEnd"/>
      <w:r w:rsidRPr="00A36FF4">
        <w:rPr>
          <w:sz w:val="24"/>
          <w:szCs w:val="24"/>
        </w:rPr>
        <w:t>. )E= -0.059 * PH</w:t>
      </w:r>
    </w:p>
    <w:p w:rsidR="00F85451" w:rsidRPr="00A36FF4" w:rsidRDefault="00F85451">
      <w:pPr>
        <w:rPr>
          <w:sz w:val="24"/>
          <w:szCs w:val="24"/>
        </w:rPr>
      </w:pPr>
    </w:p>
    <w:sectPr w:rsidR="00F85451" w:rsidRPr="00A36FF4" w:rsidSect="00F85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25D"/>
    <w:multiLevelType w:val="hybridMultilevel"/>
    <w:tmpl w:val="99A6E614"/>
    <w:lvl w:ilvl="0" w:tplc="77F677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4CE"/>
    <w:rsid w:val="00034C30"/>
    <w:rsid w:val="00257052"/>
    <w:rsid w:val="002914CE"/>
    <w:rsid w:val="002C1A23"/>
    <w:rsid w:val="008F6FC4"/>
    <w:rsid w:val="00A32A19"/>
    <w:rsid w:val="00A36FF4"/>
    <w:rsid w:val="00E71F2F"/>
    <w:rsid w:val="00E83FC7"/>
    <w:rsid w:val="00F8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451"/>
  </w:style>
  <w:style w:type="paragraph" w:styleId="berschrift1">
    <w:name w:val="heading 1"/>
    <w:basedOn w:val="Standard"/>
    <w:next w:val="Standard"/>
    <w:link w:val="berschrift1Zchn"/>
    <w:uiPriority w:val="9"/>
    <w:qFormat/>
    <w:rsid w:val="00291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2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91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914C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9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4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36FF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71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Elektrische_Energ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Chemische_Ener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2009-05-31T09:58:00Z</dcterms:created>
  <dcterms:modified xsi:type="dcterms:W3CDTF">2009-06-08T13:48:00Z</dcterms:modified>
</cp:coreProperties>
</file>