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A7" w:rsidRDefault="00675FA7" w:rsidP="00675FA7">
      <w:pPr>
        <w:pStyle w:val="berschrift1"/>
      </w:pPr>
      <w:r>
        <w:t>Strukturaufklärung</w:t>
      </w:r>
    </w:p>
    <w:p w:rsidR="00C25460" w:rsidRDefault="00C25460" w:rsidP="00C2546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Die physikalischen Methoden beinhalten alle die gleiche Idee: Durch Abgabe von Energie an das Molekül</w:t>
      </w:r>
    </w:p>
    <w:p w:rsidR="00C25460" w:rsidRDefault="00C25460" w:rsidP="00C2546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wird es ‚gestört’ in seinem bevorzugten Zustand: es wird </w:t>
      </w:r>
      <w:r>
        <w:rPr>
          <w:rFonts w:ascii="ComicSansMS-Bold" w:hAnsi="ComicSansMS-Bold" w:cs="ComicSansMS-Bold"/>
          <w:b/>
          <w:bCs/>
          <w:sz w:val="18"/>
          <w:szCs w:val="18"/>
        </w:rPr>
        <w:t>angeregt</w:t>
      </w:r>
      <w:r>
        <w:rPr>
          <w:rFonts w:ascii="ComicSansMS" w:hAnsi="ComicSansMS" w:cs="ComicSansMS"/>
          <w:sz w:val="18"/>
          <w:szCs w:val="18"/>
        </w:rPr>
        <w:t>. Nach einer gewissen Zeit kehrt das</w:t>
      </w:r>
    </w:p>
    <w:p w:rsidR="00C25460" w:rsidRDefault="00C25460" w:rsidP="00C2546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Molekül wieder in seinen bevorzugten Zustand (</w:t>
      </w:r>
      <w:r>
        <w:rPr>
          <w:rFonts w:ascii="ComicSansMS-Bold" w:hAnsi="ComicSansMS-Bold" w:cs="ComicSansMS-Bold"/>
          <w:b/>
          <w:bCs/>
          <w:sz w:val="18"/>
          <w:szCs w:val="18"/>
        </w:rPr>
        <w:t>Grundzustand</w:t>
      </w:r>
      <w:r>
        <w:rPr>
          <w:rFonts w:ascii="ComicSansMS" w:hAnsi="ComicSansMS" w:cs="ComicSansMS"/>
          <w:sz w:val="18"/>
          <w:szCs w:val="18"/>
        </w:rPr>
        <w:t>) zurück und gibt dabei einen bestimmten</w:t>
      </w:r>
    </w:p>
    <w:p w:rsidR="00C25460" w:rsidRDefault="00C25460" w:rsidP="00C25460">
      <w:pPr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Energiebetrag ab. Diese abgegebene Energie kann gemessen werden.</w:t>
      </w:r>
    </w:p>
    <w:p w:rsidR="00C25460" w:rsidRDefault="00C25460" w:rsidP="00C25460">
      <w:pPr>
        <w:rPr>
          <w:rFonts w:ascii="ComicSansMS-Bold" w:hAnsi="ComicSansMS-Bold" w:cs="ComicSansMS-Bold"/>
          <w:b/>
          <w:bCs/>
          <w:sz w:val="28"/>
          <w:szCs w:val="28"/>
        </w:rPr>
      </w:pPr>
      <w:r w:rsidRPr="00675FA7">
        <w:rPr>
          <w:rStyle w:val="berschrift2Zchn"/>
        </w:rPr>
        <w:t>Die organische Elementaranalyse</w:t>
      </w:r>
      <w:r>
        <w:rPr>
          <w:rFonts w:ascii="ComicSansMS-Bold" w:hAnsi="ComicSansMS-Bold" w:cs="ComicSansMS-Bold"/>
          <w:b/>
          <w:bCs/>
          <w:noProof/>
          <w:sz w:val="28"/>
          <w:szCs w:val="28"/>
          <w:lang w:eastAsia="de-DE"/>
        </w:rPr>
        <w:drawing>
          <wp:inline distT="0" distB="0" distL="0" distR="0">
            <wp:extent cx="5753100" cy="13335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460" w:rsidRDefault="00C25460" w:rsidP="00C2546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C25460">
        <w:rPr>
          <w:rFonts w:ascii="ComicSansMS" w:hAnsi="ComicSansMS" w:cs="ComicSansMS"/>
          <w:sz w:val="24"/>
          <w:szCs w:val="24"/>
        </w:rPr>
        <w:t>(C</w:t>
      </w:r>
      <w:r w:rsidRPr="00C25460">
        <w:rPr>
          <w:rFonts w:ascii="ComicSansMS" w:hAnsi="ComicSansMS" w:cs="ComicSansMS"/>
          <w:sz w:val="24"/>
          <w:szCs w:val="24"/>
          <w:vertAlign w:val="subscript"/>
        </w:rPr>
        <w:t>3</w:t>
      </w:r>
      <w:r w:rsidRPr="00C25460">
        <w:rPr>
          <w:rFonts w:ascii="ComicSansMS" w:hAnsi="ComicSansMS" w:cs="ComicSansMS"/>
          <w:sz w:val="24"/>
          <w:szCs w:val="24"/>
        </w:rPr>
        <w:t>H</w:t>
      </w:r>
      <w:r w:rsidRPr="00C25460">
        <w:rPr>
          <w:rFonts w:ascii="ComicSansMS" w:hAnsi="ComicSansMS" w:cs="ComicSansMS"/>
          <w:sz w:val="24"/>
          <w:szCs w:val="24"/>
          <w:vertAlign w:val="subscript"/>
        </w:rPr>
        <w:t>7</w:t>
      </w:r>
      <w:r w:rsidRPr="00C25460">
        <w:rPr>
          <w:rFonts w:ascii="ComicSansMS" w:hAnsi="ComicSansMS" w:cs="ComicSansMS"/>
          <w:sz w:val="24"/>
          <w:szCs w:val="24"/>
        </w:rPr>
        <w:t>NO)</w:t>
      </w:r>
      <w:r w:rsidRPr="00C25460">
        <w:rPr>
          <w:rFonts w:ascii="ComicSansMS" w:hAnsi="ComicSansMS" w:cs="ComicSansMS"/>
          <w:sz w:val="24"/>
          <w:szCs w:val="24"/>
          <w:vertAlign w:val="subscript"/>
        </w:rPr>
        <w:t>k</w:t>
      </w:r>
      <w:r w:rsidRPr="00C25460">
        <w:rPr>
          <w:rFonts w:ascii="ComicSansMS" w:hAnsi="ComicSansMS" w:cs="ComicSansMS"/>
          <w:sz w:val="24"/>
          <w:szCs w:val="24"/>
        </w:rPr>
        <w:t xml:space="preserve"> ,  wobei k=1,2,3 …</w:t>
      </w:r>
    </w:p>
    <w:p w:rsidR="009509A9" w:rsidRDefault="009509A9" w:rsidP="00C2546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9509A9" w:rsidRDefault="009509A9" w:rsidP="00675FA7">
      <w:pPr>
        <w:pStyle w:val="berschrift2"/>
        <w:rPr>
          <w:rFonts w:ascii="ComicSansMS" w:hAnsi="ComicSansMS" w:cs="ComicSansMS"/>
        </w:rPr>
      </w:pPr>
      <w:r>
        <w:t>Die Bestimmung molarer Massen</w:t>
      </w:r>
    </w:p>
    <w:p w:rsidR="009509A9" w:rsidRDefault="009509A9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Die molare Masse von Gasen und </w:t>
      </w:r>
      <w:proofErr w:type="spellStart"/>
      <w:r>
        <w:rPr>
          <w:rFonts w:ascii="ComicSansMS" w:hAnsi="ComicSansMS" w:cs="ComicSansMS"/>
          <w:sz w:val="18"/>
          <w:szCs w:val="18"/>
        </w:rPr>
        <w:t>unzersetzt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verdampfbaren Flüssigkeiten können aus dem Volumen</w:t>
      </w:r>
    </w:p>
    <w:p w:rsidR="009509A9" w:rsidRDefault="009509A9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bestimmt werden, </w:t>
      </w:r>
      <w:proofErr w:type="gramStart"/>
      <w:r>
        <w:rPr>
          <w:rFonts w:ascii="ComicSansMS" w:hAnsi="ComicSansMS" w:cs="ComicSansMS"/>
          <w:sz w:val="18"/>
          <w:szCs w:val="18"/>
        </w:rPr>
        <w:t>das</w:t>
      </w:r>
      <w:proofErr w:type="gramEnd"/>
      <w:r>
        <w:rPr>
          <w:rFonts w:ascii="ComicSansMS" w:hAnsi="ComicSansMS" w:cs="ComicSansMS"/>
          <w:sz w:val="18"/>
          <w:szCs w:val="18"/>
        </w:rPr>
        <w:t xml:space="preserve"> eine gasförmige Portion der analysierten Verbindung einnimmt.</w:t>
      </w:r>
    </w:p>
    <w:p w:rsidR="009509A9" w:rsidRDefault="009509A9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</w:p>
    <w:p w:rsidR="009509A9" w:rsidRDefault="00675FA7" w:rsidP="00675FA7">
      <w:pPr>
        <w:pStyle w:val="berschrift2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142240</wp:posOffset>
            </wp:positionV>
            <wp:extent cx="2822575" cy="1752600"/>
            <wp:effectExtent l="19050" t="0" r="0" b="0"/>
            <wp:wrapTight wrapText="bothSides">
              <wp:wrapPolygon edited="0">
                <wp:start x="-146" y="0"/>
                <wp:lineTo x="-146" y="21365"/>
                <wp:lineTo x="21576" y="21365"/>
                <wp:lineTo x="21576" y="0"/>
                <wp:lineTo x="-146" y="0"/>
              </wp:wrapPolygon>
            </wp:wrapTight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9A9">
        <w:t>Massenspektroskopie (MS)</w:t>
      </w:r>
    </w:p>
    <w:p w:rsidR="009509A9" w:rsidRDefault="009509A9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Beim Beschuss organischer Moleküle mit Elektronen entstehen im Massenspektrometer positive Molekül-</w:t>
      </w:r>
    </w:p>
    <w:p w:rsidR="009509A9" w:rsidRDefault="009509A9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Ionen.</w:t>
      </w:r>
      <w:r w:rsidR="00675FA7"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>Neben dieser Ionisierung kommt es auch zur Spaltung von Bindungen. Bei solchen Fragmentierungen</w:t>
      </w:r>
    </w:p>
    <w:p w:rsidR="009509A9" w:rsidRDefault="009509A9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entstehen positiv geladene Ionen, Radikale und kleine neutrale Moleküle als Bruchstücke des ursprünglichen</w:t>
      </w:r>
    </w:p>
    <w:p w:rsidR="009509A9" w:rsidRDefault="009509A9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Moleküls</w:t>
      </w:r>
    </w:p>
    <w:p w:rsidR="009509A9" w:rsidRDefault="00675FA7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Problem: </w:t>
      </w:r>
      <w:r w:rsidR="009B5363">
        <w:rPr>
          <w:rFonts w:ascii="ComicSansMS" w:hAnsi="ComicSansMS" w:cs="ComicSansMS"/>
          <w:sz w:val="18"/>
          <w:szCs w:val="18"/>
        </w:rPr>
        <w:t>Verunreinigungen in Massenspektren</w:t>
      </w:r>
      <w:r>
        <w:rPr>
          <w:rFonts w:ascii="ComicSansMS" w:hAnsi="ComicSansMS" w:cs="ComicSansMS"/>
          <w:sz w:val="18"/>
          <w:szCs w:val="18"/>
        </w:rPr>
        <w:t xml:space="preserve"> („alles“ wird registriert)</w:t>
      </w:r>
    </w:p>
    <w:p w:rsidR="009B5363" w:rsidRDefault="009B5363" w:rsidP="009509A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</w:p>
    <w:p w:rsidR="00675FA7" w:rsidRDefault="00675FA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487045</wp:posOffset>
            </wp:positionV>
            <wp:extent cx="5514975" cy="2971800"/>
            <wp:effectExtent l="19050" t="0" r="9525" b="0"/>
            <wp:wrapTight wrapText="bothSides">
              <wp:wrapPolygon edited="0">
                <wp:start x="-75" y="0"/>
                <wp:lineTo x="-75" y="21462"/>
                <wp:lineTo x="21637" y="21462"/>
                <wp:lineTo x="21637" y="0"/>
                <wp:lineTo x="-75" y="0"/>
              </wp:wrapPolygon>
            </wp:wrapTight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B5363" w:rsidRPr="00675FA7" w:rsidRDefault="00675FA7" w:rsidP="00675FA7">
      <w:pPr>
        <w:pStyle w:val="berschrift2"/>
        <w:rPr>
          <w:rFonts w:ascii="ComicSansMS" w:hAnsi="ComicSansMS" w:cs="ComicSansMS"/>
          <w:sz w:val="18"/>
          <w:szCs w:val="1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-461645</wp:posOffset>
            </wp:positionV>
            <wp:extent cx="2374900" cy="4429125"/>
            <wp:effectExtent l="19050" t="0" r="6350" b="0"/>
            <wp:wrapTight wrapText="bothSides">
              <wp:wrapPolygon edited="0">
                <wp:start x="-173" y="0"/>
                <wp:lineTo x="-173" y="21554"/>
                <wp:lineTo x="21658" y="21554"/>
                <wp:lineTo x="21658" y="0"/>
                <wp:lineTo x="-173" y="0"/>
              </wp:wrapPolygon>
            </wp:wrapTight>
            <wp:docPr id="10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363">
        <w:t>Infrarot-Spektroskopie (IR)</w:t>
      </w:r>
    </w:p>
    <w:p w:rsidR="009B5363" w:rsidRDefault="009B5363" w:rsidP="009B536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Wellen aus dem IR-Bereich,</w:t>
      </w:r>
    </w:p>
    <w:p w:rsidR="009B5363" w:rsidRDefault="009B5363" w:rsidP="009B5363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so liegen wir im Energiebereich um </w:t>
      </w:r>
      <w:r>
        <w:rPr>
          <w:rFonts w:ascii="ComicSansMS-Bold" w:hAnsi="ComicSansMS-Bold" w:cs="ComicSansMS-Bold"/>
          <w:b/>
          <w:bCs/>
          <w:sz w:val="18"/>
          <w:szCs w:val="18"/>
        </w:rPr>
        <w:t>Schwingungen der</w:t>
      </w:r>
    </w:p>
    <w:p w:rsidR="009B5363" w:rsidRDefault="009B5363" w:rsidP="009B536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-Bold" w:hAnsi="ComicSansMS-Bold" w:cs="ComicSansMS-Bold"/>
          <w:b/>
          <w:bCs/>
          <w:sz w:val="18"/>
          <w:szCs w:val="18"/>
        </w:rPr>
        <w:t xml:space="preserve">Bindungslängen und Bindungswinkel </w:t>
      </w:r>
      <w:r>
        <w:rPr>
          <w:rFonts w:ascii="ComicSansMS" w:hAnsi="ComicSansMS" w:cs="ComicSansMS"/>
          <w:sz w:val="18"/>
          <w:szCs w:val="18"/>
        </w:rPr>
        <w:t>anzuregen.</w:t>
      </w:r>
    </w:p>
    <w:p w:rsidR="008341DE" w:rsidRDefault="009B5363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Wichtig ist für die Strukturaufklärung der Bereich von ca. 1500 – 4000 cm</w:t>
      </w:r>
      <w:r>
        <w:rPr>
          <w:rFonts w:ascii="ComicSansMS" w:hAnsi="ComicSansMS" w:cs="ComicSansMS"/>
          <w:sz w:val="12"/>
          <w:szCs w:val="12"/>
        </w:rPr>
        <w:t>-1</w:t>
      </w:r>
      <w:r>
        <w:rPr>
          <w:rFonts w:ascii="ComicSansMS" w:hAnsi="ComicSansMS" w:cs="ComicSansMS"/>
          <w:sz w:val="18"/>
          <w:szCs w:val="18"/>
        </w:rPr>
        <w:t>.</w:t>
      </w:r>
    </w:p>
    <w:p w:rsidR="008341DE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</w:p>
    <w:p w:rsidR="008341DE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 w:rsidRPr="008341DE">
        <w:rPr>
          <w:rFonts w:ascii="ComicSansMS" w:hAnsi="ComicSansMS" w:cs="ComicSansMS"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>Die Frequenz der Schwingung (‚</w:t>
      </w:r>
      <w:proofErr w:type="spellStart"/>
      <w:r>
        <w:rPr>
          <w:rFonts w:ascii="ComicSansMS" w:hAnsi="ComicSansMS" w:cs="ComicSansMS"/>
          <w:sz w:val="18"/>
          <w:szCs w:val="18"/>
        </w:rPr>
        <w:t>grössere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Wellenzahl’) und damit auch die zur Anregung der</w:t>
      </w:r>
    </w:p>
    <w:p w:rsidR="00675FA7" w:rsidRDefault="00675FA7" w:rsidP="008341D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" w:hAnsi="ComicSansMS" w:cs="ComicSansMS"/>
          <w:noProof/>
          <w:sz w:val="18"/>
          <w:szCs w:val="1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462915</wp:posOffset>
            </wp:positionV>
            <wp:extent cx="3482975" cy="2238375"/>
            <wp:effectExtent l="19050" t="0" r="3175" b="0"/>
            <wp:wrapTight wrapText="bothSides">
              <wp:wrapPolygon edited="0">
                <wp:start x="-118" y="0"/>
                <wp:lineTo x="-118" y="21508"/>
                <wp:lineTo x="21620" y="21508"/>
                <wp:lineTo x="21620" y="0"/>
                <wp:lineTo x="-118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1DE">
        <w:rPr>
          <w:rFonts w:ascii="ComicSansMS" w:hAnsi="ComicSansMS" w:cs="ComicSansMS"/>
          <w:sz w:val="18"/>
          <w:szCs w:val="18"/>
        </w:rPr>
        <w:t>Schwingung notwendige Energie ist umso grösser, je stärker die betreffende Bindung ist. Die Frequenz der Schwingung ist umso grösser, je kleiner die Massen der schwingenden Atome sind.</w:t>
      </w:r>
      <w:r w:rsidR="008341DE" w:rsidRPr="008341DE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</w:p>
    <w:p w:rsidR="00675FA7" w:rsidRDefault="00675FA7" w:rsidP="008341D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675FA7" w:rsidRDefault="00675FA7" w:rsidP="008341D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9B5363" w:rsidRDefault="00675FA7" w:rsidP="00675FA7">
      <w:pPr>
        <w:pStyle w:val="berschrift2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-737235</wp:posOffset>
            </wp:positionV>
            <wp:extent cx="371475" cy="400050"/>
            <wp:effectExtent l="19050" t="0" r="9525" b="0"/>
            <wp:wrapTight wrapText="bothSides">
              <wp:wrapPolygon edited="0">
                <wp:start x="-1108" y="0"/>
                <wp:lineTo x="-1108" y="20571"/>
                <wp:lineTo x="22154" y="20571"/>
                <wp:lineTo x="22154" y="0"/>
                <wp:lineTo x="-1108" y="0"/>
              </wp:wrapPolygon>
            </wp:wrapTight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1DE">
        <w:t>Kernresonanzspektroskopie oder NMR-Spektroskopie</w:t>
      </w:r>
    </w:p>
    <w:p w:rsidR="008341DE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Absorption von Radiowellen durch Wasserstoffverbindungen untersucht</w:t>
      </w:r>
    </w:p>
    <w:p w:rsidR="008341DE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Zwischen diesen Einstellungen( </w:t>
      </w:r>
      <w:proofErr w:type="spellStart"/>
      <w:r>
        <w:rPr>
          <w:rFonts w:ascii="ComicSansMS" w:hAnsi="ComicSansMS" w:cs="ComicSansMS"/>
          <w:sz w:val="18"/>
          <w:szCs w:val="18"/>
        </w:rPr>
        <w:t>spins</w:t>
      </w:r>
      <w:proofErr w:type="spellEnd"/>
      <w:r>
        <w:rPr>
          <w:rFonts w:ascii="ComicSansMS" w:hAnsi="ComicSansMS" w:cs="ComicSansMS"/>
          <w:sz w:val="18"/>
          <w:szCs w:val="18"/>
        </w:rPr>
        <w:t>) lässt sich durch Energiezufuhr in Form von elektromagnetischer Strahlung</w:t>
      </w:r>
    </w:p>
    <w:p w:rsidR="008341DE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geeigneter Wellenlänge hin- und herschalten. Dieser Prozess wird als Anregung bezeichnet.</w:t>
      </w:r>
    </w:p>
    <w:p w:rsidR="008341DE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Chemisch nicht-äquivalente Kerne, d.h. Kerne mit einer unterschiedlichen elektronischen Umgebung,</w:t>
      </w:r>
    </w:p>
    <w:p w:rsidR="008341DE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ergeben im NMR-Spektrum getrennte Signale. </w:t>
      </w:r>
    </w:p>
    <w:p w:rsidR="008341DE" w:rsidRPr="008341DE" w:rsidRDefault="008341DE" w:rsidP="008341D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 w:rsidRPr="008341DE">
        <w:rPr>
          <w:rFonts w:ascii="ComicSansMS" w:hAnsi="ComicSansMS" w:cs="ComicSansMS"/>
          <w:sz w:val="18"/>
          <w:szCs w:val="18"/>
        </w:rPr>
        <w:t>Anzahl unterschiedlicher Kerne=Anzahl Signale</w:t>
      </w:r>
    </w:p>
    <w:p w:rsidR="008341DE" w:rsidRDefault="008341DE" w:rsidP="008341D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 w:rsidRPr="008341DE">
        <w:rPr>
          <w:rFonts w:ascii="ComicSansMS" w:hAnsi="ComicSansMS" w:cs="ComicSansMS"/>
          <w:sz w:val="18"/>
          <w:szCs w:val="18"/>
        </w:rPr>
        <w:t>Integral=relative Anzahl Protonen</w:t>
      </w:r>
    </w:p>
    <w:p w:rsidR="008341DE" w:rsidRPr="008341DE" w:rsidRDefault="008341DE" w:rsidP="008341D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18"/>
          <w:szCs w:val="18"/>
        </w:rPr>
      </w:pPr>
      <w:r w:rsidRPr="008341DE">
        <w:rPr>
          <w:rFonts w:ascii="ComicSansMS-Bold" w:hAnsi="ComicSansMS-Bold" w:cs="ComicSansMS-Bold"/>
          <w:b/>
          <w:bCs/>
          <w:sz w:val="18"/>
          <w:szCs w:val="18"/>
        </w:rPr>
        <w:t xml:space="preserve">Je kleiner die Abschirmung umso grösser ist die chemische Verschiebung </w:t>
      </w:r>
      <w:r w:rsidRPr="008341DE">
        <w:rPr>
          <w:rFonts w:ascii="ComicSansMS" w:hAnsi="ComicSansMS" w:cs="ComicSansMS"/>
          <w:sz w:val="18"/>
          <w:szCs w:val="18"/>
        </w:rPr>
        <w:t xml:space="preserve">δ </w:t>
      </w:r>
      <w:r w:rsidRPr="008341DE">
        <w:rPr>
          <w:rFonts w:ascii="ComicSansMS-Bold" w:hAnsi="ComicSansMS-Bold" w:cs="ComicSansMS-Bold"/>
          <w:b/>
          <w:bCs/>
          <w:sz w:val="18"/>
          <w:szCs w:val="18"/>
        </w:rPr>
        <w:t>oder sehr salopp: Je</w:t>
      </w:r>
      <w:r>
        <w:rPr>
          <w:rFonts w:ascii="ComicSansMS-Bold" w:hAnsi="ComicSansMS-Bold" w:cs="ComicSansMS-Bold"/>
          <w:b/>
          <w:bCs/>
          <w:sz w:val="18"/>
          <w:szCs w:val="18"/>
        </w:rPr>
        <w:t xml:space="preserve"> </w:t>
      </w:r>
      <w:r w:rsidRPr="008341DE">
        <w:rPr>
          <w:rFonts w:ascii="ComicSansMS-Bold" w:hAnsi="ComicSansMS-Bold" w:cs="ComicSansMS-Bold"/>
          <w:b/>
          <w:bCs/>
          <w:sz w:val="18"/>
          <w:szCs w:val="18"/>
        </w:rPr>
        <w:t xml:space="preserve">nackter umso weiter links, desto grösser die Verschiebung </w:t>
      </w:r>
      <w:r w:rsidRPr="008341DE">
        <w:rPr>
          <w:rFonts w:ascii="ComicSansMS" w:hAnsi="ComicSansMS" w:cs="ComicSansMS"/>
          <w:sz w:val="18"/>
          <w:szCs w:val="18"/>
        </w:rPr>
        <w:t>δ.</w:t>
      </w:r>
      <w:r w:rsidR="00675FA7">
        <w:rPr>
          <w:rFonts w:ascii="ComicSansMS" w:hAnsi="ComicSansMS" w:cs="ComicSansMS"/>
          <w:sz w:val="18"/>
          <w:szCs w:val="18"/>
        </w:rPr>
        <w:t xml:space="preserve"> (</w:t>
      </w:r>
      <w:r w:rsidR="00675FA7">
        <w:rPr>
          <w:rFonts w:ascii="Verdana" w:hAnsi="Verdana"/>
          <w:color w:val="000000"/>
          <w:sz w:val="18"/>
          <w:szCs w:val="18"/>
        </w:rPr>
        <w:t>Verschiebung aufgrund elektronenziehender Nachbarn)</w:t>
      </w:r>
    </w:p>
    <w:p w:rsidR="008341DE" w:rsidRPr="008341DE" w:rsidRDefault="008341DE" w:rsidP="008341D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18"/>
          <w:szCs w:val="18"/>
        </w:rPr>
      </w:pPr>
      <w:r>
        <w:rPr>
          <w:rFonts w:ascii="ComicSansMS-Bold" w:hAnsi="ComicSansMS-Bold" w:cs="ComicSansMS-Bold"/>
          <w:b/>
          <w:bCs/>
          <w:sz w:val="18"/>
          <w:szCs w:val="18"/>
        </w:rPr>
        <w:t xml:space="preserve">Anzahl Peaks= Anzahl aktiver Nachbarn (resp. Protonen) </w:t>
      </w:r>
      <w:r w:rsidR="00675FA7">
        <w:rPr>
          <w:rFonts w:ascii="ComicSansMS-Bold" w:hAnsi="ComicSansMS-Bold" w:cs="ComicSansMS-Bold"/>
          <w:b/>
          <w:bCs/>
          <w:sz w:val="18"/>
          <w:szCs w:val="18"/>
        </w:rPr>
        <w:t>+1</w:t>
      </w:r>
    </w:p>
    <w:p w:rsidR="008341DE" w:rsidRPr="009B5363" w:rsidRDefault="008341DE" w:rsidP="008341D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noProof/>
          <w:sz w:val="18"/>
          <w:szCs w:val="18"/>
          <w:lang w:eastAsia="de-DE"/>
        </w:rPr>
        <w:drawing>
          <wp:inline distT="0" distB="0" distL="0" distR="0">
            <wp:extent cx="4826200" cy="3219450"/>
            <wp:effectExtent l="19050" t="0" r="0" b="0"/>
            <wp:docPr id="11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72" cy="322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1DE" w:rsidRPr="009B5363" w:rsidSect="001D7A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2659"/>
    <w:multiLevelType w:val="hybridMultilevel"/>
    <w:tmpl w:val="F9587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460"/>
    <w:rsid w:val="001D7A89"/>
    <w:rsid w:val="00675FA7"/>
    <w:rsid w:val="008341DE"/>
    <w:rsid w:val="008F6FA1"/>
    <w:rsid w:val="009509A9"/>
    <w:rsid w:val="009B5363"/>
    <w:rsid w:val="00C2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A89"/>
  </w:style>
  <w:style w:type="paragraph" w:styleId="berschrift1">
    <w:name w:val="heading 1"/>
    <w:basedOn w:val="Standard"/>
    <w:next w:val="Standard"/>
    <w:link w:val="berschrift1Zchn"/>
    <w:uiPriority w:val="9"/>
    <w:qFormat/>
    <w:rsid w:val="00675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5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4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41D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75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5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Simpson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2009-05-23T09:40:00Z</dcterms:created>
  <dcterms:modified xsi:type="dcterms:W3CDTF">2009-05-23T10:54:00Z</dcterms:modified>
</cp:coreProperties>
</file>