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3F90" w14:textId="4FBF5AD9" w:rsidR="000C133D" w:rsidRDefault="000C133D">
      <w:pPr>
        <w:rPr>
          <w:b/>
          <w:bCs/>
          <w:sz w:val="96"/>
          <w:szCs w:val="96"/>
        </w:rPr>
      </w:pPr>
      <w:r>
        <w:rPr>
          <w:noProof/>
        </w:rPr>
        <w:drawing>
          <wp:anchor distT="0" distB="0" distL="114300" distR="114300" simplePos="0" relativeHeight="251659264" behindDoc="1" locked="0" layoutInCell="1" allowOverlap="1" wp14:anchorId="159D1CAD" wp14:editId="1DE8CF76">
            <wp:simplePos x="0" y="0"/>
            <wp:positionH relativeFrom="column">
              <wp:posOffset>3471863</wp:posOffset>
            </wp:positionH>
            <wp:positionV relativeFrom="paragraph">
              <wp:posOffset>534670</wp:posOffset>
            </wp:positionV>
            <wp:extent cx="2381250" cy="1285875"/>
            <wp:effectExtent l="0" t="0" r="0" b="9525"/>
            <wp:wrapTight wrapText="bothSides">
              <wp:wrapPolygon edited="0">
                <wp:start x="17280" y="0"/>
                <wp:lineTo x="10368" y="4800"/>
                <wp:lineTo x="10368" y="7680"/>
                <wp:lineTo x="11750" y="10560"/>
                <wp:lineTo x="5184" y="11520"/>
                <wp:lineTo x="0" y="13440"/>
                <wp:lineTo x="0" y="17920"/>
                <wp:lineTo x="9850" y="20800"/>
                <wp:lineTo x="16762" y="21440"/>
                <wp:lineTo x="18662" y="21440"/>
                <wp:lineTo x="18835" y="15680"/>
                <wp:lineTo x="21427" y="12160"/>
                <wp:lineTo x="21427" y="3840"/>
                <wp:lineTo x="18317" y="0"/>
                <wp:lineTo x="17280" y="0"/>
              </wp:wrapPolygon>
            </wp:wrapTight>
            <wp:docPr id="460137631" name="Grafik 2" descr="Ein Bild, das Schwarz, Dunkelheit,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37631" name="Grafik 2" descr="Ein Bild, das Schwarz, Dunkelheit, Schwarzweiß enthält.&#10;&#10;KI-generierte Inhalte können fehlerhaft s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C109D" w14:textId="1EF8F442" w:rsidR="000C133D" w:rsidRDefault="000C133D">
      <w:proofErr w:type="spellStart"/>
      <w:r w:rsidRPr="000C133D">
        <w:rPr>
          <w:b/>
          <w:bCs/>
          <w:sz w:val="96"/>
          <w:szCs w:val="96"/>
        </w:rPr>
        <w:t>Coniin</w:t>
      </w:r>
      <w:proofErr w:type="spellEnd"/>
      <w:r>
        <w:t xml:space="preserve"> </w:t>
      </w:r>
    </w:p>
    <w:p w14:paraId="5F4B1D68" w14:textId="7DDEDEE1" w:rsidR="000C133D" w:rsidRDefault="000C133D"/>
    <w:p w14:paraId="167DFBA0" w14:textId="5AEA8717" w:rsidR="000C133D" w:rsidRDefault="000C133D">
      <w:r>
        <w:rPr>
          <w:noProof/>
        </w:rPr>
        <w:drawing>
          <wp:anchor distT="0" distB="0" distL="114300" distR="114300" simplePos="0" relativeHeight="251658240" behindDoc="1" locked="0" layoutInCell="1" allowOverlap="1" wp14:anchorId="1E3EB546" wp14:editId="5AB69DA5">
            <wp:simplePos x="0" y="0"/>
            <wp:positionH relativeFrom="column">
              <wp:posOffset>3705543</wp:posOffset>
            </wp:positionH>
            <wp:positionV relativeFrom="paragraph">
              <wp:posOffset>947420</wp:posOffset>
            </wp:positionV>
            <wp:extent cx="2381250" cy="3190875"/>
            <wp:effectExtent l="0" t="0" r="0" b="9525"/>
            <wp:wrapTight wrapText="bothSides">
              <wp:wrapPolygon edited="0">
                <wp:start x="0" y="0"/>
                <wp:lineTo x="0" y="21536"/>
                <wp:lineTo x="21427" y="21536"/>
                <wp:lineTo x="21427" y="0"/>
                <wp:lineTo x="0" y="0"/>
              </wp:wrapPolygon>
            </wp:wrapTight>
            <wp:docPr id="593442810" name="Grafik 1" descr="Ein Bild, das Pflanze, Text, Botanik, Gartenbau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42810" name="Grafik 1" descr="Ein Bild, das Pflanze, Text, Botanik, Gartenbau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33D">
        <w:rPr>
          <w:b/>
          <w:bCs/>
        </w:rPr>
        <w:t>Schierlingsbecher</w:t>
      </w:r>
      <w:r w:rsidRPr="000C133D">
        <w:t xml:space="preserve"> (griechisch </w:t>
      </w:r>
      <w:proofErr w:type="spellStart"/>
      <w:r w:rsidRPr="000C133D">
        <w:t>κώνειον</w:t>
      </w:r>
      <w:proofErr w:type="spellEnd"/>
      <w:r w:rsidRPr="000C133D">
        <w:t> </w:t>
      </w:r>
      <w:proofErr w:type="spellStart"/>
      <w:r w:rsidRPr="000C133D">
        <w:rPr>
          <w:i/>
          <w:iCs/>
        </w:rPr>
        <w:t>k</w:t>
      </w:r>
      <w:r w:rsidRPr="000C133D">
        <w:rPr>
          <w:rFonts w:ascii="Calibri" w:hAnsi="Calibri" w:cs="Calibri"/>
          <w:i/>
          <w:iCs/>
        </w:rPr>
        <w:t>ṓ</w:t>
      </w:r>
      <w:r w:rsidRPr="000C133D">
        <w:rPr>
          <w:i/>
          <w:iCs/>
        </w:rPr>
        <w:t>neion</w:t>
      </w:r>
      <w:proofErr w:type="spellEnd"/>
      <w:r w:rsidRPr="000C133D">
        <w:t> als Bezeichnung für die Pflanze und den aus ihr bereiteten Trank) wird der Becher (griechisch </w:t>
      </w:r>
      <w:proofErr w:type="spellStart"/>
      <w:r w:rsidRPr="000C133D">
        <w:fldChar w:fldCharType="begin"/>
      </w:r>
      <w:r w:rsidRPr="000C133D">
        <w:instrText>HYPERLINK "https://de.wikipedia.org/wiki/Kylix_(Gef%C3%A4%C3%9F)" \o "Kylix (Gefäß)"</w:instrText>
      </w:r>
      <w:r w:rsidRPr="000C133D">
        <w:fldChar w:fldCharType="separate"/>
      </w:r>
      <w:r w:rsidRPr="000C133D">
        <w:rPr>
          <w:rStyle w:val="Hyperlink"/>
          <w:i/>
          <w:iCs/>
        </w:rPr>
        <w:t>kylix</w:t>
      </w:r>
      <w:proofErr w:type="spellEnd"/>
      <w:r w:rsidRPr="000C133D">
        <w:fldChar w:fldCharType="end"/>
      </w:r>
      <w:hyperlink r:id="rId6" w:anchor="cite_note-1" w:history="1">
        <w:r w:rsidRPr="000C133D">
          <w:rPr>
            <w:rStyle w:val="Hyperlink"/>
            <w:vertAlign w:val="superscript"/>
          </w:rPr>
          <w:t>[1]</w:t>
        </w:r>
      </w:hyperlink>
      <w:r w:rsidRPr="000C133D">
        <w:t>) genannt, in dem sich in der Antike ein Getränk aus dem sehr giftigen Gefleckten Schierling befand, das im 5. und 4. Jahrhundert v. Chr. in </w:t>
      </w:r>
      <w:hyperlink r:id="rId7" w:tooltip="Geschichte Athens" w:history="1">
        <w:r w:rsidRPr="000C133D">
          <w:rPr>
            <w:rStyle w:val="Hyperlink"/>
          </w:rPr>
          <w:t>Athen</w:t>
        </w:r>
      </w:hyperlink>
      <w:r w:rsidRPr="000C133D">
        <w:t> bei Hinrichtungen verwendet wurde. Man enthülste die Frucht, zerstampfte sie und streute eine dünne Schicht dieses Pulvers auf Wasser. Der Verurteilte leerte den Becher und führte damit selbst seinen Tod herbei. Mit dem Begriff „Schierlingsbecher“ wird hauptsächlich die Hinrichtung des Sokrates 399 v. Chr. verbunden. Auch bei freiwilligen Selbsttötungen kam der Schierling zur Anwendung.</w:t>
      </w:r>
    </w:p>
    <w:p w14:paraId="59C5C48B" w14:textId="77777777" w:rsidR="000C133D" w:rsidRDefault="000C133D"/>
    <w:p w14:paraId="01173BEE" w14:textId="2F27AE7F" w:rsidR="000C133D" w:rsidRPr="000C133D" w:rsidRDefault="000C133D" w:rsidP="000C133D">
      <w:r w:rsidRPr="000C133D">
        <w:t>Die tödliche </w:t>
      </w:r>
      <w:proofErr w:type="spellStart"/>
      <w:r w:rsidRPr="000C133D">
        <w:fldChar w:fldCharType="begin"/>
      </w:r>
      <w:r w:rsidRPr="000C133D">
        <w:instrText>HYPERLINK "https://de.wikipedia.org/wiki/Coniin" \o "Coniin"</w:instrText>
      </w:r>
      <w:r w:rsidRPr="000C133D">
        <w:fldChar w:fldCharType="separate"/>
      </w:r>
      <w:r w:rsidRPr="000C133D">
        <w:rPr>
          <w:rStyle w:val="Hyperlink"/>
        </w:rPr>
        <w:t>Coniin</w:t>
      </w:r>
      <w:proofErr w:type="spellEnd"/>
      <w:r w:rsidRPr="000C133D">
        <w:fldChar w:fldCharType="end"/>
      </w:r>
      <w:r w:rsidRPr="000C133D">
        <w:t xml:space="preserve">-Dosis beträgt 6 bis 7 mg pro kg Körpermasse, also etwa 0,5 g für einen Erwachsenen. </w:t>
      </w:r>
    </w:p>
    <w:p w14:paraId="7362CDE8" w14:textId="7891175B" w:rsidR="000C133D" w:rsidRDefault="000C133D" w:rsidP="000C133D">
      <w:r w:rsidRPr="000C133D">
        <w:t xml:space="preserve">Das </w:t>
      </w:r>
      <w:proofErr w:type="spellStart"/>
      <w:r w:rsidRPr="000C133D">
        <w:t>Coniin</w:t>
      </w:r>
      <w:proofErr w:type="spellEnd"/>
      <w:r w:rsidRPr="000C133D">
        <w:t xml:space="preserve"> bewirkt eine von den Fü</w:t>
      </w:r>
      <w:r w:rsidR="00530D6D">
        <w:t>ss</w:t>
      </w:r>
      <w:r w:rsidRPr="000C133D">
        <w:t xml:space="preserve">en </w:t>
      </w:r>
      <w:proofErr w:type="gramStart"/>
      <w:r w:rsidRPr="000C133D">
        <w:t>her aufsteigende</w:t>
      </w:r>
      <w:proofErr w:type="gramEnd"/>
      <w:r w:rsidRPr="000C133D">
        <w:t xml:space="preserve"> Lähmung des Rückenmarks, welche schlie</w:t>
      </w:r>
      <w:r w:rsidR="00530D6D">
        <w:t>ss</w:t>
      </w:r>
      <w:r w:rsidRPr="000C133D">
        <w:t>lich zum Tod durch Atemlähmung führen kann. Der Vergiftete erstickt bei vollem Bewusstsein.</w:t>
      </w:r>
    </w:p>
    <w:p w14:paraId="4E80758E" w14:textId="77777777" w:rsidR="00726208" w:rsidRPr="000C133D" w:rsidRDefault="00726208" w:rsidP="000C133D"/>
    <w:p w14:paraId="3082432E" w14:textId="06D925AC" w:rsidR="000C133D" w:rsidRPr="000C133D" w:rsidRDefault="000C133D" w:rsidP="000C133D">
      <w:proofErr w:type="spellStart"/>
      <w:r w:rsidRPr="000C133D">
        <w:t>Coniin</w:t>
      </w:r>
      <w:proofErr w:type="spellEnd"/>
      <w:r w:rsidRPr="000C133D">
        <w:t xml:space="preserve"> blockiert reversibel </w:t>
      </w:r>
      <w:proofErr w:type="spellStart"/>
      <w:r w:rsidRPr="000C133D">
        <w:t>nikotinerge</w:t>
      </w:r>
      <w:proofErr w:type="spellEnd"/>
      <w:r w:rsidRPr="000C133D">
        <w:t xml:space="preserve"> </w:t>
      </w:r>
      <w:proofErr w:type="spellStart"/>
      <w:r w:rsidRPr="000C133D">
        <w:t>Acetylcholinrezeptoren</w:t>
      </w:r>
      <w:proofErr w:type="spellEnd"/>
      <w:r w:rsidRPr="000C133D">
        <w:t> und verhindert die Signalweiterleitung zwischen Zellen. </w:t>
      </w:r>
    </w:p>
    <w:p w14:paraId="30AEC8B5" w14:textId="77777777" w:rsidR="000C133D" w:rsidRDefault="000C133D"/>
    <w:sectPr w:rsidR="000C13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3D"/>
    <w:rsid w:val="000C133D"/>
    <w:rsid w:val="000F3142"/>
    <w:rsid w:val="00530D6D"/>
    <w:rsid w:val="007262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8F7F"/>
  <w15:chartTrackingRefBased/>
  <w15:docId w15:val="{9835F6A4-9795-43E9-8F11-0E53EF0A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1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1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133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133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133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133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133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133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133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133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133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133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133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133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133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133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133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133D"/>
    <w:rPr>
      <w:rFonts w:eastAsiaTheme="majorEastAsia" w:cstheme="majorBidi"/>
      <w:color w:val="272727" w:themeColor="text1" w:themeTint="D8"/>
    </w:rPr>
  </w:style>
  <w:style w:type="paragraph" w:styleId="Titel">
    <w:name w:val="Title"/>
    <w:basedOn w:val="Standard"/>
    <w:next w:val="Standard"/>
    <w:link w:val="TitelZchn"/>
    <w:uiPriority w:val="10"/>
    <w:qFormat/>
    <w:rsid w:val="000C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13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133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133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133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133D"/>
    <w:rPr>
      <w:i/>
      <w:iCs/>
      <w:color w:val="404040" w:themeColor="text1" w:themeTint="BF"/>
    </w:rPr>
  </w:style>
  <w:style w:type="paragraph" w:styleId="Listenabsatz">
    <w:name w:val="List Paragraph"/>
    <w:basedOn w:val="Standard"/>
    <w:uiPriority w:val="34"/>
    <w:qFormat/>
    <w:rsid w:val="000C133D"/>
    <w:pPr>
      <w:ind w:left="720"/>
      <w:contextualSpacing/>
    </w:pPr>
  </w:style>
  <w:style w:type="character" w:styleId="IntensiveHervorhebung">
    <w:name w:val="Intense Emphasis"/>
    <w:basedOn w:val="Absatz-Standardschriftart"/>
    <w:uiPriority w:val="21"/>
    <w:qFormat/>
    <w:rsid w:val="000C133D"/>
    <w:rPr>
      <w:i/>
      <w:iCs/>
      <w:color w:val="0F4761" w:themeColor="accent1" w:themeShade="BF"/>
    </w:rPr>
  </w:style>
  <w:style w:type="paragraph" w:styleId="IntensivesZitat">
    <w:name w:val="Intense Quote"/>
    <w:basedOn w:val="Standard"/>
    <w:next w:val="Standard"/>
    <w:link w:val="IntensivesZitatZchn"/>
    <w:uiPriority w:val="30"/>
    <w:qFormat/>
    <w:rsid w:val="000C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133D"/>
    <w:rPr>
      <w:i/>
      <w:iCs/>
      <w:color w:val="0F4761" w:themeColor="accent1" w:themeShade="BF"/>
    </w:rPr>
  </w:style>
  <w:style w:type="character" w:styleId="IntensiverVerweis">
    <w:name w:val="Intense Reference"/>
    <w:basedOn w:val="Absatz-Standardschriftart"/>
    <w:uiPriority w:val="32"/>
    <w:qFormat/>
    <w:rsid w:val="000C133D"/>
    <w:rPr>
      <w:b/>
      <w:bCs/>
      <w:smallCaps/>
      <w:color w:val="0F4761" w:themeColor="accent1" w:themeShade="BF"/>
      <w:spacing w:val="5"/>
    </w:rPr>
  </w:style>
  <w:style w:type="character" w:styleId="Hyperlink">
    <w:name w:val="Hyperlink"/>
    <w:basedOn w:val="Absatz-Standardschriftart"/>
    <w:uiPriority w:val="99"/>
    <w:unhideWhenUsed/>
    <w:rsid w:val="000C133D"/>
    <w:rPr>
      <w:color w:val="467886" w:themeColor="hyperlink"/>
      <w:u w:val="single"/>
    </w:rPr>
  </w:style>
  <w:style w:type="character" w:styleId="NichtaufgelsteErwhnung">
    <w:name w:val="Unresolved Mention"/>
    <w:basedOn w:val="Absatz-Standardschriftart"/>
    <w:uiPriority w:val="99"/>
    <w:semiHidden/>
    <w:unhideWhenUsed/>
    <w:rsid w:val="000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wikipedia.org/wiki/Geschichte_Ath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Schierlingsbecher"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1235</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3</cp:revision>
  <dcterms:created xsi:type="dcterms:W3CDTF">2025-08-27T10:20:00Z</dcterms:created>
  <dcterms:modified xsi:type="dcterms:W3CDTF">2025-08-27T10:27:00Z</dcterms:modified>
</cp:coreProperties>
</file>