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DA620" w14:textId="77777777" w:rsidR="007E094A" w:rsidRDefault="007E094A" w:rsidP="007E094A"/>
    <w:p w14:paraId="041243E4" w14:textId="28C77338" w:rsidR="007E094A" w:rsidRDefault="007E094A" w:rsidP="007E094A">
      <w:r w:rsidRPr="007E094A">
        <w:rPr>
          <w:highlight w:val="yellow"/>
        </w:rPr>
        <w:t xml:space="preserve">Nenne mir die 5 häufigsten Fehler, die bei den Berechnungen </w:t>
      </w:r>
      <w:r w:rsidRPr="007E094A">
        <w:rPr>
          <w:highlight w:val="yellow"/>
        </w:rPr>
        <w:t xml:space="preserve">beim Thema </w:t>
      </w:r>
      <w:proofErr w:type="spellStart"/>
      <w:r w:rsidRPr="007E094A">
        <w:rPr>
          <w:highlight w:val="yellow"/>
        </w:rPr>
        <w:t>Therodynamik</w:t>
      </w:r>
      <w:proofErr w:type="spellEnd"/>
      <w:r w:rsidRPr="007E094A">
        <w:rPr>
          <w:highlight w:val="yellow"/>
        </w:rPr>
        <w:t xml:space="preserve"> </w:t>
      </w:r>
      <w:r w:rsidRPr="007E094A">
        <w:rPr>
          <w:highlight w:val="yellow"/>
        </w:rPr>
        <w:t>vorkommen könnten</w:t>
      </w:r>
      <w:r w:rsidRPr="007E094A">
        <w:rPr>
          <w:highlight w:val="yellow"/>
        </w:rPr>
        <w:t>.</w:t>
      </w:r>
    </w:p>
    <w:p w14:paraId="1C50B275" w14:textId="77777777" w:rsidR="007E094A" w:rsidRDefault="007E094A" w:rsidP="007E094A"/>
    <w:p w14:paraId="4D4E562A" w14:textId="4BC33EE5" w:rsidR="007E094A" w:rsidRPr="007E094A" w:rsidRDefault="007E094A" w:rsidP="007E094A">
      <w:r w:rsidRPr="007E094A">
        <w:t>Hier sind fünf der häufigsten Fehler, die bei thermodynamischen Berechnungen im Bereich der Enthalpie (</w:t>
      </w:r>
      <w:proofErr w:type="spellStart"/>
      <w:r w:rsidRPr="007E094A">
        <w:t>HHH</w:t>
      </w:r>
      <w:proofErr w:type="spellEnd"/>
      <w:r w:rsidRPr="007E094A">
        <w:t xml:space="preserve">), </w:t>
      </w:r>
      <w:proofErr w:type="spellStart"/>
      <w:r w:rsidRPr="007E094A">
        <w:t>Gibbs'schen</w:t>
      </w:r>
      <w:proofErr w:type="spellEnd"/>
      <w:r w:rsidRPr="007E094A">
        <w:t xml:space="preserve"> freien Energie (GGG) und verwandten Themen vorkommen:</w:t>
      </w:r>
    </w:p>
    <w:p w14:paraId="514C5A54" w14:textId="77777777" w:rsidR="007E094A" w:rsidRPr="007E094A" w:rsidRDefault="007E094A" w:rsidP="007E094A">
      <w:pPr>
        <w:rPr>
          <w:b/>
          <w:bCs/>
        </w:rPr>
      </w:pPr>
      <w:r w:rsidRPr="007E094A">
        <w:rPr>
          <w:b/>
          <w:bCs/>
        </w:rPr>
        <w:t>1. Falsche Einheiten verwenden oder nicht umrechnen</w:t>
      </w:r>
    </w:p>
    <w:p w14:paraId="793236E2" w14:textId="77777777" w:rsidR="007E094A" w:rsidRPr="007E094A" w:rsidRDefault="007E094A" w:rsidP="007E094A">
      <w:pPr>
        <w:numPr>
          <w:ilvl w:val="0"/>
          <w:numId w:val="1"/>
        </w:numPr>
      </w:pPr>
      <w:r w:rsidRPr="007E094A">
        <w:t>Thermodynamische Größen wie Enthalpie, Entropie und Temperatur haben oft unterschiedliche Einheiten, wie Joule (J), Kilojoule (kJ) oder Kelvin (K). Ein häufiger Fehler ist das Ignorieren oder falsche Umrechnen von Einheiten, was zu falschen Ergebnissen führt.</w:t>
      </w:r>
    </w:p>
    <w:p w14:paraId="16706B4C" w14:textId="77777777" w:rsidR="007E094A" w:rsidRPr="007E094A" w:rsidRDefault="007E094A" w:rsidP="007E094A">
      <w:pPr>
        <w:numPr>
          <w:ilvl w:val="1"/>
          <w:numId w:val="1"/>
        </w:numPr>
      </w:pPr>
      <w:r w:rsidRPr="007E094A">
        <w:rPr>
          <w:b/>
          <w:bCs/>
        </w:rPr>
        <w:t>Beispiel</w:t>
      </w:r>
      <w:r w:rsidRPr="007E094A">
        <w:t>: Die Entropie (</w:t>
      </w:r>
      <w:proofErr w:type="spellStart"/>
      <w:r w:rsidRPr="007E094A">
        <w:t>ΔS</w:t>
      </w:r>
      <w:proofErr w:type="spellEnd"/>
      <w:r w:rsidRPr="007E094A">
        <w:t xml:space="preserve">\Delta </w:t>
      </w:r>
      <w:proofErr w:type="spellStart"/>
      <w:r w:rsidRPr="007E094A">
        <w:t>SΔS</w:t>
      </w:r>
      <w:proofErr w:type="spellEnd"/>
      <w:r w:rsidRPr="007E094A">
        <w:t xml:space="preserve">) kann in J/K angegeben sein, während </w:t>
      </w:r>
      <w:proofErr w:type="spellStart"/>
      <w:r w:rsidRPr="007E094A">
        <w:t>ΔH</w:t>
      </w:r>
      <w:proofErr w:type="spellEnd"/>
      <w:r w:rsidRPr="007E094A">
        <w:t xml:space="preserve">\Delta </w:t>
      </w:r>
      <w:proofErr w:type="spellStart"/>
      <w:r w:rsidRPr="007E094A">
        <w:t>HΔH</w:t>
      </w:r>
      <w:proofErr w:type="spellEnd"/>
      <w:r w:rsidRPr="007E094A">
        <w:t xml:space="preserve"> in kJ vorliegt. Vergisst man, die Einheiten zu konvertieren (z. B. J in kJ oder umgekehrt), stimmen die Berechnungen für </w:t>
      </w:r>
      <w:proofErr w:type="spellStart"/>
      <w:r w:rsidRPr="007E094A">
        <w:t>ΔG</w:t>
      </w:r>
      <w:proofErr w:type="spellEnd"/>
      <w:r w:rsidRPr="007E094A">
        <w:t xml:space="preserve">\Delta </w:t>
      </w:r>
      <w:proofErr w:type="spellStart"/>
      <w:r w:rsidRPr="007E094A">
        <w:t>GΔG</w:t>
      </w:r>
      <w:proofErr w:type="spellEnd"/>
      <w:r w:rsidRPr="007E094A">
        <w:t xml:space="preserve"> nicht.</w:t>
      </w:r>
    </w:p>
    <w:p w14:paraId="71D10B5D" w14:textId="77777777" w:rsidR="007E094A" w:rsidRPr="007E094A" w:rsidRDefault="007E094A" w:rsidP="007E094A">
      <w:pPr>
        <w:rPr>
          <w:b/>
          <w:bCs/>
        </w:rPr>
      </w:pPr>
      <w:r w:rsidRPr="007E094A">
        <w:rPr>
          <w:b/>
          <w:bCs/>
        </w:rPr>
        <w:t>2. Temperatur nicht in Kelvin umrechnen</w:t>
      </w:r>
    </w:p>
    <w:p w14:paraId="7BADD6EF" w14:textId="77777777" w:rsidR="007E094A" w:rsidRPr="007E094A" w:rsidRDefault="007E094A" w:rsidP="007E094A">
      <w:pPr>
        <w:numPr>
          <w:ilvl w:val="0"/>
          <w:numId w:val="2"/>
        </w:numPr>
      </w:pPr>
      <w:r w:rsidRPr="007E094A">
        <w:t xml:space="preserve">In thermodynamischen Berechnungen muss die Temperatur immer in </w:t>
      </w:r>
      <w:r w:rsidRPr="007E094A">
        <w:rPr>
          <w:b/>
          <w:bCs/>
        </w:rPr>
        <w:t>Kelvin (K)</w:t>
      </w:r>
      <w:r w:rsidRPr="007E094A">
        <w:t xml:space="preserve"> angegeben werden, da das absolute Temperaturskala notwendig ist.</w:t>
      </w:r>
    </w:p>
    <w:p w14:paraId="571B7B3F" w14:textId="77777777" w:rsidR="007E094A" w:rsidRPr="007E094A" w:rsidRDefault="007E094A" w:rsidP="007E094A">
      <w:pPr>
        <w:numPr>
          <w:ilvl w:val="1"/>
          <w:numId w:val="2"/>
        </w:numPr>
      </w:pPr>
      <w:r w:rsidRPr="007E094A">
        <w:rPr>
          <w:b/>
          <w:bCs/>
        </w:rPr>
        <w:t>Beispiel</w:t>
      </w:r>
      <w:r w:rsidRPr="007E094A">
        <w:t>: Wenn die Temperatur in Grad Celsius angegeben ist, musst du sie in Kelvin umrechnen (K = °C + 273,15). Ein häufiger Fehler ist, die Temperatur direkt in °C in die Gleichung einzusetzen.</w:t>
      </w:r>
    </w:p>
    <w:p w14:paraId="5453F36E" w14:textId="77777777" w:rsidR="007E094A" w:rsidRPr="007E094A" w:rsidRDefault="007E094A" w:rsidP="007E094A">
      <w:pPr>
        <w:rPr>
          <w:b/>
          <w:bCs/>
        </w:rPr>
      </w:pPr>
      <w:r w:rsidRPr="007E094A">
        <w:rPr>
          <w:b/>
          <w:bCs/>
        </w:rPr>
        <w:t>3. Vorzeichenfehler</w:t>
      </w:r>
    </w:p>
    <w:p w14:paraId="33AEB11B" w14:textId="77777777" w:rsidR="007E094A" w:rsidRPr="007E094A" w:rsidRDefault="007E094A" w:rsidP="007E094A">
      <w:pPr>
        <w:numPr>
          <w:ilvl w:val="0"/>
          <w:numId w:val="3"/>
        </w:numPr>
      </w:pPr>
      <w:r w:rsidRPr="007E094A">
        <w:t>Vorzeichenfehler treten häufig auf, insbesondere bei der Enthalpie (</w:t>
      </w:r>
      <w:proofErr w:type="spellStart"/>
      <w:r w:rsidRPr="007E094A">
        <w:t>ΔH</w:t>
      </w:r>
      <w:proofErr w:type="spellEnd"/>
      <w:r w:rsidRPr="007E094A">
        <w:t xml:space="preserve">\Delta </w:t>
      </w:r>
      <w:proofErr w:type="spellStart"/>
      <w:r w:rsidRPr="007E094A">
        <w:t>HΔH</w:t>
      </w:r>
      <w:proofErr w:type="spellEnd"/>
      <w:r w:rsidRPr="007E094A">
        <w:t xml:space="preserve">) und der </w:t>
      </w:r>
      <w:proofErr w:type="spellStart"/>
      <w:r w:rsidRPr="007E094A">
        <w:t>Gibbs'schen</w:t>
      </w:r>
      <w:proofErr w:type="spellEnd"/>
      <w:r w:rsidRPr="007E094A">
        <w:t xml:space="preserve"> freien Energie (</w:t>
      </w:r>
      <w:proofErr w:type="spellStart"/>
      <w:r w:rsidRPr="007E094A">
        <w:t>ΔG</w:t>
      </w:r>
      <w:proofErr w:type="spellEnd"/>
      <w:r w:rsidRPr="007E094A">
        <w:t xml:space="preserve">\Delta </w:t>
      </w:r>
      <w:proofErr w:type="spellStart"/>
      <w:r w:rsidRPr="007E094A">
        <w:t>GΔG</w:t>
      </w:r>
      <w:proofErr w:type="spellEnd"/>
      <w:r w:rsidRPr="007E094A">
        <w:t xml:space="preserve">). Exotherme Reaktionen haben ein negatives </w:t>
      </w:r>
      <w:proofErr w:type="spellStart"/>
      <w:r w:rsidRPr="007E094A">
        <w:t>ΔH</w:t>
      </w:r>
      <w:proofErr w:type="spellEnd"/>
      <w:r w:rsidRPr="007E094A">
        <w:t xml:space="preserve">\Delta </w:t>
      </w:r>
      <w:proofErr w:type="spellStart"/>
      <w:r w:rsidRPr="007E094A">
        <w:t>HΔH</w:t>
      </w:r>
      <w:proofErr w:type="spellEnd"/>
      <w:r w:rsidRPr="007E094A">
        <w:t xml:space="preserve">, und spontane Prozesse haben ein negatives </w:t>
      </w:r>
      <w:proofErr w:type="spellStart"/>
      <w:r w:rsidRPr="007E094A">
        <w:t>ΔG</w:t>
      </w:r>
      <w:proofErr w:type="spellEnd"/>
      <w:r w:rsidRPr="007E094A">
        <w:t xml:space="preserve">\Delta </w:t>
      </w:r>
      <w:proofErr w:type="spellStart"/>
      <w:r w:rsidRPr="007E094A">
        <w:t>GΔG</w:t>
      </w:r>
      <w:proofErr w:type="spellEnd"/>
      <w:r w:rsidRPr="007E094A">
        <w:t>.</w:t>
      </w:r>
    </w:p>
    <w:p w14:paraId="4FCD3319" w14:textId="77777777" w:rsidR="007E094A" w:rsidRPr="007E094A" w:rsidRDefault="007E094A" w:rsidP="007E094A">
      <w:pPr>
        <w:numPr>
          <w:ilvl w:val="1"/>
          <w:numId w:val="3"/>
        </w:numPr>
      </w:pPr>
      <w:r w:rsidRPr="007E094A">
        <w:rPr>
          <w:b/>
          <w:bCs/>
        </w:rPr>
        <w:t>Beispiel</w:t>
      </w:r>
      <w:r w:rsidRPr="007E094A">
        <w:t xml:space="preserve">: Wenn man den Vorzeichenwechsel bei einer exothermen Reaktion nicht berücksichtigt (also </w:t>
      </w:r>
      <w:proofErr w:type="spellStart"/>
      <w:r w:rsidRPr="007E094A">
        <w:t>ΔH</w:t>
      </w:r>
      <w:proofErr w:type="spellEnd"/>
      <w:r w:rsidRPr="007E094A">
        <w:t xml:space="preserve">&lt;0\Delta H &lt; </w:t>
      </w:r>
      <w:proofErr w:type="spellStart"/>
      <w:r w:rsidRPr="007E094A">
        <w:t>0ΔH</w:t>
      </w:r>
      <w:proofErr w:type="spellEnd"/>
      <w:r w:rsidRPr="007E094A">
        <w:t>&lt;0), können die Ergebnisse falsch interpretiert werden.</w:t>
      </w:r>
    </w:p>
    <w:p w14:paraId="0E2E1B34" w14:textId="77777777" w:rsidR="007E094A" w:rsidRPr="007E094A" w:rsidRDefault="007E094A" w:rsidP="007E094A">
      <w:pPr>
        <w:rPr>
          <w:b/>
          <w:bCs/>
        </w:rPr>
      </w:pPr>
      <w:r w:rsidRPr="007E094A">
        <w:rPr>
          <w:b/>
          <w:bCs/>
        </w:rPr>
        <w:t>4. Entropieänderung (</w:t>
      </w:r>
      <w:proofErr w:type="spellStart"/>
      <w:r w:rsidRPr="007E094A">
        <w:rPr>
          <w:b/>
          <w:bCs/>
        </w:rPr>
        <w:t>ΔS</w:t>
      </w:r>
      <w:proofErr w:type="spellEnd"/>
      <w:r w:rsidRPr="007E094A">
        <w:rPr>
          <w:b/>
          <w:bCs/>
        </w:rPr>
        <w:t xml:space="preserve">\Delta </w:t>
      </w:r>
      <w:proofErr w:type="spellStart"/>
      <w:r w:rsidRPr="007E094A">
        <w:rPr>
          <w:b/>
          <w:bCs/>
        </w:rPr>
        <w:t>SΔS</w:t>
      </w:r>
      <w:proofErr w:type="spellEnd"/>
      <w:r w:rsidRPr="007E094A">
        <w:rPr>
          <w:b/>
          <w:bCs/>
        </w:rPr>
        <w:t>) ignorieren</w:t>
      </w:r>
    </w:p>
    <w:p w14:paraId="19D65A8E" w14:textId="77777777" w:rsidR="007E094A" w:rsidRPr="007E094A" w:rsidRDefault="007E094A" w:rsidP="007E094A">
      <w:pPr>
        <w:numPr>
          <w:ilvl w:val="0"/>
          <w:numId w:val="4"/>
        </w:numPr>
      </w:pPr>
      <w:r w:rsidRPr="007E094A">
        <w:t xml:space="preserve">Manchmal wird die Entropieänderung in der Gibbs-Gleichung </w:t>
      </w:r>
      <w:proofErr w:type="spellStart"/>
      <w:r w:rsidRPr="007E094A">
        <w:t>ΔG</w:t>
      </w:r>
      <w:proofErr w:type="spellEnd"/>
      <w:r w:rsidRPr="007E094A">
        <w:t>=</w:t>
      </w:r>
      <w:proofErr w:type="spellStart"/>
      <w:r w:rsidRPr="007E094A">
        <w:t>ΔH−T</w:t>
      </w:r>
      <w:r w:rsidRPr="007E094A">
        <w:rPr>
          <w:rFonts w:ascii="Cambria Math" w:hAnsi="Cambria Math" w:cs="Cambria Math"/>
        </w:rPr>
        <w:t>⋅</w:t>
      </w:r>
      <w:r w:rsidRPr="007E094A">
        <w:rPr>
          <w:rFonts w:ascii="Aptos" w:hAnsi="Aptos" w:cs="Aptos"/>
        </w:rPr>
        <w:t>Δ</w:t>
      </w:r>
      <w:r w:rsidRPr="007E094A">
        <w:t>S</w:t>
      </w:r>
      <w:proofErr w:type="spellEnd"/>
      <w:r w:rsidRPr="007E094A">
        <w:t>\Delta G = \Delta H - T \</w:t>
      </w:r>
      <w:proofErr w:type="spellStart"/>
      <w:r w:rsidRPr="007E094A">
        <w:t>cdot</w:t>
      </w:r>
      <w:proofErr w:type="spellEnd"/>
      <w:r w:rsidRPr="007E094A">
        <w:t xml:space="preserve"> \Delta </w:t>
      </w:r>
      <w:proofErr w:type="spellStart"/>
      <w:r w:rsidRPr="007E094A">
        <w:t>SΔG</w:t>
      </w:r>
      <w:proofErr w:type="spellEnd"/>
      <w:r w:rsidRPr="007E094A">
        <w:t>=</w:t>
      </w:r>
      <w:proofErr w:type="spellStart"/>
      <w:r w:rsidRPr="007E094A">
        <w:t>ΔH−T</w:t>
      </w:r>
      <w:r w:rsidRPr="007E094A">
        <w:rPr>
          <w:rFonts w:ascii="Cambria Math" w:hAnsi="Cambria Math" w:cs="Cambria Math"/>
        </w:rPr>
        <w:t>⋅</w:t>
      </w:r>
      <w:r w:rsidRPr="007E094A">
        <w:t>ΔS</w:t>
      </w:r>
      <w:proofErr w:type="spellEnd"/>
      <w:r w:rsidRPr="007E094A">
        <w:t xml:space="preserve"> vernachlässigt, obwohl sie einen erheblichen Einfluss auf das Ergebnis hat, insbesondere bei hohen Temperaturen. Dies führt zu fehlerhaften Aussagen über die Spontaneität eines Prozesses.</w:t>
      </w:r>
    </w:p>
    <w:p w14:paraId="4F5CCA0F" w14:textId="77777777" w:rsidR="007E094A" w:rsidRPr="007E094A" w:rsidRDefault="007E094A" w:rsidP="007E094A">
      <w:pPr>
        <w:numPr>
          <w:ilvl w:val="1"/>
          <w:numId w:val="4"/>
        </w:numPr>
      </w:pPr>
      <w:r w:rsidRPr="007E094A">
        <w:rPr>
          <w:b/>
          <w:bCs/>
        </w:rPr>
        <w:t>Beispiel</w:t>
      </w:r>
      <w:r w:rsidRPr="007E094A">
        <w:t xml:space="preserve">: Bei einer hohen Temperatur könnte </w:t>
      </w:r>
      <w:proofErr w:type="spellStart"/>
      <w:r w:rsidRPr="007E094A">
        <w:t>T</w:t>
      </w:r>
      <w:r w:rsidRPr="007E094A">
        <w:rPr>
          <w:rFonts w:ascii="Cambria Math" w:hAnsi="Cambria Math" w:cs="Cambria Math"/>
        </w:rPr>
        <w:t>⋅</w:t>
      </w:r>
      <w:r w:rsidRPr="007E094A">
        <w:rPr>
          <w:rFonts w:ascii="Aptos" w:hAnsi="Aptos" w:cs="Aptos"/>
        </w:rPr>
        <w:t>Δ</w:t>
      </w:r>
      <w:r w:rsidRPr="007E094A">
        <w:t>ST</w:t>
      </w:r>
      <w:proofErr w:type="spellEnd"/>
      <w:r w:rsidRPr="007E094A">
        <w:t xml:space="preserve"> \</w:t>
      </w:r>
      <w:proofErr w:type="spellStart"/>
      <w:r w:rsidRPr="007E094A">
        <w:t>cdot</w:t>
      </w:r>
      <w:proofErr w:type="spellEnd"/>
      <w:r w:rsidRPr="007E094A">
        <w:t xml:space="preserve"> \Delta </w:t>
      </w:r>
      <w:proofErr w:type="spellStart"/>
      <w:r w:rsidRPr="007E094A">
        <w:t>ST</w:t>
      </w:r>
      <w:r w:rsidRPr="007E094A">
        <w:rPr>
          <w:rFonts w:ascii="Cambria Math" w:hAnsi="Cambria Math" w:cs="Cambria Math"/>
        </w:rPr>
        <w:t>⋅</w:t>
      </w:r>
      <w:r w:rsidRPr="007E094A">
        <w:t>ΔS</w:t>
      </w:r>
      <w:proofErr w:type="spellEnd"/>
      <w:r w:rsidRPr="007E094A">
        <w:t xml:space="preserve"> einen großen Einfluss haben, und der Prozess könnte trotzdem spontan sein, obwohl </w:t>
      </w:r>
      <w:proofErr w:type="spellStart"/>
      <w:r w:rsidRPr="007E094A">
        <w:t>ΔH</w:t>
      </w:r>
      <w:proofErr w:type="spellEnd"/>
      <w:r w:rsidRPr="007E094A">
        <w:t xml:space="preserve">&gt;0\Delta H &gt; </w:t>
      </w:r>
      <w:proofErr w:type="spellStart"/>
      <w:r w:rsidRPr="007E094A">
        <w:t>0ΔH</w:t>
      </w:r>
      <w:proofErr w:type="spellEnd"/>
      <w:r w:rsidRPr="007E094A">
        <w:t>&gt;0.</w:t>
      </w:r>
    </w:p>
    <w:p w14:paraId="35C07E70" w14:textId="77777777" w:rsidR="007E094A" w:rsidRPr="007E094A" w:rsidRDefault="007E094A" w:rsidP="007E094A">
      <w:pPr>
        <w:rPr>
          <w:b/>
          <w:bCs/>
        </w:rPr>
      </w:pPr>
      <w:r w:rsidRPr="007E094A">
        <w:rPr>
          <w:b/>
          <w:bCs/>
        </w:rPr>
        <w:t>5. Verwechseln von Zustandsgrößen</w:t>
      </w:r>
    </w:p>
    <w:p w14:paraId="34BF5220" w14:textId="77777777" w:rsidR="007E094A" w:rsidRPr="007E094A" w:rsidRDefault="007E094A" w:rsidP="007E094A">
      <w:pPr>
        <w:numPr>
          <w:ilvl w:val="0"/>
          <w:numId w:val="5"/>
        </w:numPr>
      </w:pPr>
      <w:r w:rsidRPr="007E094A">
        <w:t>Zustandsgrößen wie Enthalpie (</w:t>
      </w:r>
      <w:proofErr w:type="spellStart"/>
      <w:r w:rsidRPr="007E094A">
        <w:t>HHH</w:t>
      </w:r>
      <w:proofErr w:type="spellEnd"/>
      <w:r w:rsidRPr="007E094A">
        <w:t xml:space="preserve">), Entropie (SSS) und </w:t>
      </w:r>
      <w:proofErr w:type="spellStart"/>
      <w:r w:rsidRPr="007E094A">
        <w:t>Gibbs'sche</w:t>
      </w:r>
      <w:proofErr w:type="spellEnd"/>
      <w:r w:rsidRPr="007E094A">
        <w:t xml:space="preserve"> freie Energie (GGG) sind </w:t>
      </w:r>
      <w:r w:rsidRPr="007E094A">
        <w:rPr>
          <w:b/>
          <w:bCs/>
        </w:rPr>
        <w:t>zustandsabhängig</w:t>
      </w:r>
      <w:r w:rsidRPr="007E094A">
        <w:t xml:space="preserve">, was bedeutet, dass nur die </w:t>
      </w:r>
      <w:r w:rsidRPr="007E094A">
        <w:rPr>
          <w:b/>
          <w:bCs/>
        </w:rPr>
        <w:t>Differenz</w:t>
      </w:r>
      <w:r w:rsidRPr="007E094A">
        <w:t xml:space="preserve"> dieser Größen zwischen </w:t>
      </w:r>
      <w:r w:rsidRPr="007E094A">
        <w:lastRenderedPageBreak/>
        <w:t>Anfangs- und Endzustand wichtig ist. Ein häufiger Fehler besteht darin, die absoluten Werte statt der Differenzen (</w:t>
      </w:r>
      <w:proofErr w:type="spellStart"/>
      <w:r w:rsidRPr="007E094A">
        <w:t>ΔH</w:t>
      </w:r>
      <w:proofErr w:type="spellEnd"/>
      <w:r w:rsidRPr="007E094A">
        <w:t xml:space="preserve">\Delta </w:t>
      </w:r>
      <w:proofErr w:type="spellStart"/>
      <w:r w:rsidRPr="007E094A">
        <w:t>HΔH</w:t>
      </w:r>
      <w:proofErr w:type="spellEnd"/>
      <w:r w:rsidRPr="007E094A">
        <w:t xml:space="preserve">, </w:t>
      </w:r>
      <w:proofErr w:type="spellStart"/>
      <w:r w:rsidRPr="007E094A">
        <w:t>ΔS</w:t>
      </w:r>
      <w:proofErr w:type="spellEnd"/>
      <w:r w:rsidRPr="007E094A">
        <w:t xml:space="preserve">\Delta </w:t>
      </w:r>
      <w:proofErr w:type="spellStart"/>
      <w:r w:rsidRPr="007E094A">
        <w:t>SΔS</w:t>
      </w:r>
      <w:proofErr w:type="spellEnd"/>
      <w:r w:rsidRPr="007E094A">
        <w:t xml:space="preserve">, </w:t>
      </w:r>
      <w:proofErr w:type="spellStart"/>
      <w:r w:rsidRPr="007E094A">
        <w:t>ΔG</w:t>
      </w:r>
      <w:proofErr w:type="spellEnd"/>
      <w:r w:rsidRPr="007E094A">
        <w:t xml:space="preserve">\Delta </w:t>
      </w:r>
      <w:proofErr w:type="spellStart"/>
      <w:r w:rsidRPr="007E094A">
        <w:t>GΔG</w:t>
      </w:r>
      <w:proofErr w:type="spellEnd"/>
      <w:r w:rsidRPr="007E094A">
        <w:t>) zu verwenden.</w:t>
      </w:r>
    </w:p>
    <w:p w14:paraId="2ABE5B63" w14:textId="77777777" w:rsidR="007E094A" w:rsidRPr="007E094A" w:rsidRDefault="007E094A" w:rsidP="007E094A">
      <w:pPr>
        <w:numPr>
          <w:ilvl w:val="1"/>
          <w:numId w:val="5"/>
        </w:numPr>
      </w:pPr>
      <w:r w:rsidRPr="007E094A">
        <w:rPr>
          <w:b/>
          <w:bCs/>
        </w:rPr>
        <w:t>Beispiel</w:t>
      </w:r>
      <w:r w:rsidRPr="007E094A">
        <w:t xml:space="preserve">: Statt die Änderung der Enthalpie </w:t>
      </w:r>
      <w:proofErr w:type="spellStart"/>
      <w:r w:rsidRPr="007E094A">
        <w:t>ΔH</w:t>
      </w:r>
      <w:proofErr w:type="spellEnd"/>
      <w:r w:rsidRPr="007E094A">
        <w:t>=</w:t>
      </w:r>
      <w:proofErr w:type="spellStart"/>
      <w:r w:rsidRPr="007E094A">
        <w:t>HProdukte−HEdukte</w:t>
      </w:r>
      <w:proofErr w:type="spellEnd"/>
      <w:r w:rsidRPr="007E094A">
        <w:t>\Delta H = H_{\</w:t>
      </w:r>
      <w:proofErr w:type="spellStart"/>
      <w:proofErr w:type="gramStart"/>
      <w:r w:rsidRPr="007E094A">
        <w:t>text</w:t>
      </w:r>
      <w:proofErr w:type="spellEnd"/>
      <w:r w:rsidRPr="007E094A">
        <w:t>{</w:t>
      </w:r>
      <w:proofErr w:type="gramEnd"/>
      <w:r w:rsidRPr="007E094A">
        <w:t>Produkte}} - H_{\</w:t>
      </w:r>
      <w:proofErr w:type="spellStart"/>
      <w:r w:rsidRPr="007E094A">
        <w:t>text</w:t>
      </w:r>
      <w:proofErr w:type="spellEnd"/>
      <w:r w:rsidRPr="007E094A">
        <w:t>{Edukte}}</w:t>
      </w:r>
      <w:proofErr w:type="spellStart"/>
      <w:r w:rsidRPr="007E094A">
        <w:t>ΔH</w:t>
      </w:r>
      <w:proofErr w:type="spellEnd"/>
      <w:r w:rsidRPr="007E094A">
        <w:t>=</w:t>
      </w:r>
      <w:proofErr w:type="spellStart"/>
      <w:r w:rsidRPr="007E094A">
        <w:t>HProdukte</w:t>
      </w:r>
      <w:proofErr w:type="spellEnd"/>
      <w:r w:rsidRPr="007E094A">
        <w:rPr>
          <w:rFonts w:ascii="Arial" w:hAnsi="Arial" w:cs="Arial"/>
        </w:rPr>
        <w:t>​</w:t>
      </w:r>
      <w:r w:rsidRPr="007E094A">
        <w:t>−</w:t>
      </w:r>
      <w:proofErr w:type="spellStart"/>
      <w:r w:rsidRPr="007E094A">
        <w:t>HEdukte</w:t>
      </w:r>
      <w:proofErr w:type="spellEnd"/>
      <w:r w:rsidRPr="007E094A">
        <w:rPr>
          <w:rFonts w:ascii="Arial" w:hAnsi="Arial" w:cs="Arial"/>
        </w:rPr>
        <w:t>​</w:t>
      </w:r>
      <w:r w:rsidRPr="007E094A">
        <w:t xml:space="preserve"> zu berechnen, wird fälschlicherweise der absolute Wert der Enthalpie verwendet.</w:t>
      </w:r>
    </w:p>
    <w:p w14:paraId="63C49C8F" w14:textId="77777777" w:rsidR="007E094A" w:rsidRPr="007E094A" w:rsidRDefault="007E094A" w:rsidP="007E094A">
      <w:pPr>
        <w:rPr>
          <w:b/>
          <w:bCs/>
        </w:rPr>
      </w:pPr>
      <w:proofErr w:type="spellStart"/>
      <w:r w:rsidRPr="007E094A">
        <w:rPr>
          <w:b/>
          <w:bCs/>
        </w:rPr>
        <w:t>Tipp</w:t>
      </w:r>
      <w:proofErr w:type="spellEnd"/>
      <w:r w:rsidRPr="007E094A">
        <w:rPr>
          <w:b/>
          <w:bCs/>
        </w:rPr>
        <w:t>:</w:t>
      </w:r>
    </w:p>
    <w:p w14:paraId="08B7119D" w14:textId="77777777" w:rsidR="007E094A" w:rsidRPr="007E094A" w:rsidRDefault="007E094A" w:rsidP="007E094A">
      <w:r w:rsidRPr="007E094A">
        <w:t>Immer darauf achten, dass Einheiten, Vorzeichen und Zustandsänderungen korrekt behandelt werden und dass die Temperatur in Kelvin eingesetzt wird. Vor jeder Berechnung lohnt es sich, diese häufigen Fehlerquellen im Blick zu behalten, um präzise Ergebnisse zu erzielen.</w:t>
      </w:r>
    </w:p>
    <w:p w14:paraId="07D88822" w14:textId="77777777" w:rsidR="009545D1" w:rsidRDefault="009545D1"/>
    <w:sectPr w:rsidR="009545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F6A76"/>
    <w:multiLevelType w:val="multilevel"/>
    <w:tmpl w:val="11F4F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C4F20"/>
    <w:multiLevelType w:val="multilevel"/>
    <w:tmpl w:val="A6163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5A45A3"/>
    <w:multiLevelType w:val="multilevel"/>
    <w:tmpl w:val="658C3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C05F15"/>
    <w:multiLevelType w:val="multilevel"/>
    <w:tmpl w:val="E54C3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207D5D"/>
    <w:multiLevelType w:val="multilevel"/>
    <w:tmpl w:val="5BE6E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9653420">
    <w:abstractNumId w:val="1"/>
  </w:num>
  <w:num w:numId="2" w16cid:durableId="1435713651">
    <w:abstractNumId w:val="0"/>
  </w:num>
  <w:num w:numId="3" w16cid:durableId="310058083">
    <w:abstractNumId w:val="4"/>
  </w:num>
  <w:num w:numId="4" w16cid:durableId="1211110578">
    <w:abstractNumId w:val="2"/>
  </w:num>
  <w:num w:numId="5" w16cid:durableId="18607051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94A"/>
    <w:rsid w:val="001817CA"/>
    <w:rsid w:val="00191BE3"/>
    <w:rsid w:val="007E094A"/>
    <w:rsid w:val="009545D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7BDA5"/>
  <w15:chartTrackingRefBased/>
  <w15:docId w15:val="{6E1ECB53-8DE4-4E43-91E8-09B923E4E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E09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E09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E094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E094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E094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E094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E094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E094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E094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E094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E094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E094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E094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E094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E094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E094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E094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E094A"/>
    <w:rPr>
      <w:rFonts w:eastAsiaTheme="majorEastAsia" w:cstheme="majorBidi"/>
      <w:color w:val="272727" w:themeColor="text1" w:themeTint="D8"/>
    </w:rPr>
  </w:style>
  <w:style w:type="paragraph" w:styleId="Titel">
    <w:name w:val="Title"/>
    <w:basedOn w:val="Standard"/>
    <w:next w:val="Standard"/>
    <w:link w:val="TitelZchn"/>
    <w:uiPriority w:val="10"/>
    <w:qFormat/>
    <w:rsid w:val="007E09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E094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E094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E094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E094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E094A"/>
    <w:rPr>
      <w:i/>
      <w:iCs/>
      <w:color w:val="404040" w:themeColor="text1" w:themeTint="BF"/>
    </w:rPr>
  </w:style>
  <w:style w:type="paragraph" w:styleId="Listenabsatz">
    <w:name w:val="List Paragraph"/>
    <w:basedOn w:val="Standard"/>
    <w:uiPriority w:val="34"/>
    <w:qFormat/>
    <w:rsid w:val="007E094A"/>
    <w:pPr>
      <w:ind w:left="720"/>
      <w:contextualSpacing/>
    </w:pPr>
  </w:style>
  <w:style w:type="character" w:styleId="IntensiveHervorhebung">
    <w:name w:val="Intense Emphasis"/>
    <w:basedOn w:val="Absatz-Standardschriftart"/>
    <w:uiPriority w:val="21"/>
    <w:qFormat/>
    <w:rsid w:val="007E094A"/>
    <w:rPr>
      <w:i/>
      <w:iCs/>
      <w:color w:val="0F4761" w:themeColor="accent1" w:themeShade="BF"/>
    </w:rPr>
  </w:style>
  <w:style w:type="paragraph" w:styleId="IntensivesZitat">
    <w:name w:val="Intense Quote"/>
    <w:basedOn w:val="Standard"/>
    <w:next w:val="Standard"/>
    <w:link w:val="IntensivesZitatZchn"/>
    <w:uiPriority w:val="30"/>
    <w:qFormat/>
    <w:rsid w:val="007E09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E094A"/>
    <w:rPr>
      <w:i/>
      <w:iCs/>
      <w:color w:val="0F4761" w:themeColor="accent1" w:themeShade="BF"/>
    </w:rPr>
  </w:style>
  <w:style w:type="character" w:styleId="IntensiverVerweis">
    <w:name w:val="Intense Reference"/>
    <w:basedOn w:val="Absatz-Standardschriftart"/>
    <w:uiPriority w:val="32"/>
    <w:qFormat/>
    <w:rsid w:val="007E09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895012">
      <w:bodyDiv w:val="1"/>
      <w:marLeft w:val="0"/>
      <w:marRight w:val="0"/>
      <w:marTop w:val="0"/>
      <w:marBottom w:val="0"/>
      <w:divBdr>
        <w:top w:val="none" w:sz="0" w:space="0" w:color="auto"/>
        <w:left w:val="none" w:sz="0" w:space="0" w:color="auto"/>
        <w:bottom w:val="none" w:sz="0" w:space="0" w:color="auto"/>
        <w:right w:val="none" w:sz="0" w:space="0" w:color="auto"/>
      </w:divBdr>
    </w:div>
    <w:div w:id="67792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2608</Characters>
  <Application>Microsoft Office Word</Application>
  <DocSecurity>0</DocSecurity>
  <Lines>21</Lines>
  <Paragraphs>6</Paragraphs>
  <ScaleCrop>false</ScaleCrop>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Steiger Rainer</dc:creator>
  <cp:keywords/>
  <dc:description/>
  <cp:lastModifiedBy>Steiger Rainer</cp:lastModifiedBy>
  <cp:revision>1</cp:revision>
  <dcterms:created xsi:type="dcterms:W3CDTF">2024-09-09T10:48:00Z</dcterms:created>
  <dcterms:modified xsi:type="dcterms:W3CDTF">2024-09-09T10:50:00Z</dcterms:modified>
</cp:coreProperties>
</file>